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6221" w14:textId="557F3993" w:rsidR="007C49E3" w:rsidRDefault="00666E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Connecticut Society of Health System Pharmacists Great 8 Abstract </w:t>
      </w:r>
    </w:p>
    <w:p w14:paraId="659275E9" w14:textId="77777777" w:rsidR="007C49E3" w:rsidRPr="007C49E3" w:rsidRDefault="007C49E3">
      <w:pPr>
        <w:rPr>
          <w:rFonts w:cstheme="minorHAnsi"/>
          <w:sz w:val="24"/>
          <w:szCs w:val="24"/>
        </w:rPr>
      </w:pPr>
    </w:p>
    <w:p w14:paraId="2AAB8B91" w14:textId="66261CC2" w:rsidR="00DB0FB5" w:rsidRPr="007C49E3" w:rsidRDefault="00DB0FB5">
      <w:pPr>
        <w:rPr>
          <w:rFonts w:cstheme="minorHAnsi"/>
          <w:sz w:val="24"/>
          <w:szCs w:val="24"/>
        </w:rPr>
      </w:pPr>
      <w:r w:rsidRPr="00F85302">
        <w:rPr>
          <w:rFonts w:cstheme="minorHAnsi"/>
          <w:sz w:val="24"/>
          <w:szCs w:val="24"/>
        </w:rPr>
        <w:t>Abstract Title</w:t>
      </w:r>
      <w:r w:rsidR="007C49E3" w:rsidRPr="007C49E3">
        <w:rPr>
          <w:rFonts w:cstheme="minorHAnsi"/>
          <w:sz w:val="24"/>
          <w:szCs w:val="24"/>
        </w:rPr>
        <w:t xml:space="preserve"> </w:t>
      </w:r>
    </w:p>
    <w:p w14:paraId="27C3015B" w14:textId="44513A45" w:rsidR="00DB0FB5" w:rsidRPr="000620FC" w:rsidRDefault="00DB0FB5">
      <w:pPr>
        <w:rPr>
          <w:rFonts w:cstheme="minorHAnsi"/>
          <w:sz w:val="24"/>
          <w:szCs w:val="24"/>
        </w:rPr>
      </w:pPr>
      <w:r w:rsidRPr="000620FC">
        <w:rPr>
          <w:rFonts w:cstheme="minorHAnsi"/>
          <w:sz w:val="24"/>
          <w:szCs w:val="24"/>
        </w:rPr>
        <w:t>Efficacy of secondary oral vancomycin prophylaxis</w:t>
      </w:r>
      <w:r w:rsidR="00CB6F78">
        <w:rPr>
          <w:rFonts w:cstheme="minorHAnsi"/>
          <w:sz w:val="24"/>
          <w:szCs w:val="24"/>
        </w:rPr>
        <w:t xml:space="preserve"> (OVP)</w:t>
      </w:r>
      <w:r w:rsidRPr="000620FC">
        <w:rPr>
          <w:rFonts w:cstheme="minorHAnsi"/>
          <w:sz w:val="24"/>
          <w:szCs w:val="24"/>
        </w:rPr>
        <w:t xml:space="preserve"> in a high-risk patient population receiving systemic antibiotics</w:t>
      </w:r>
    </w:p>
    <w:p w14:paraId="2AE9C225" w14:textId="77777777" w:rsidR="00DB0FB5" w:rsidRPr="009737CA" w:rsidRDefault="00DB0FB5">
      <w:pPr>
        <w:rPr>
          <w:rFonts w:cstheme="minorHAnsi"/>
          <w:sz w:val="24"/>
          <w:szCs w:val="24"/>
        </w:rPr>
      </w:pPr>
      <w:r w:rsidRPr="00F85302">
        <w:rPr>
          <w:rFonts w:cstheme="minorHAnsi"/>
          <w:sz w:val="24"/>
          <w:szCs w:val="24"/>
        </w:rPr>
        <w:t>Authors</w:t>
      </w:r>
      <w:r w:rsidRPr="009737CA">
        <w:rPr>
          <w:rFonts w:cstheme="minorHAnsi"/>
          <w:sz w:val="24"/>
          <w:szCs w:val="24"/>
        </w:rPr>
        <w:t xml:space="preserve"> </w:t>
      </w:r>
    </w:p>
    <w:p w14:paraId="628439FA" w14:textId="0983A20C" w:rsidR="00DB0FB5" w:rsidRPr="000620FC" w:rsidRDefault="00DB0FB5">
      <w:pPr>
        <w:rPr>
          <w:rFonts w:cstheme="minorHAnsi"/>
          <w:sz w:val="24"/>
          <w:szCs w:val="24"/>
        </w:rPr>
      </w:pPr>
      <w:r w:rsidRPr="000620FC">
        <w:rPr>
          <w:rFonts w:cstheme="minorHAnsi"/>
          <w:sz w:val="24"/>
          <w:szCs w:val="24"/>
        </w:rPr>
        <w:t>O Shutov</w:t>
      </w:r>
      <w:r w:rsidR="00F85302">
        <w:rPr>
          <w:rFonts w:cstheme="minorHAnsi"/>
          <w:sz w:val="24"/>
          <w:szCs w:val="24"/>
          <w:vertAlign w:val="superscript"/>
        </w:rPr>
        <w:t>1</w:t>
      </w:r>
      <w:r w:rsidRPr="000620FC">
        <w:rPr>
          <w:rFonts w:cstheme="minorHAnsi"/>
          <w:sz w:val="24"/>
          <w:szCs w:val="24"/>
        </w:rPr>
        <w:t>, K Shepard</w:t>
      </w:r>
      <w:r w:rsidR="00F85302">
        <w:rPr>
          <w:rFonts w:cstheme="minorHAnsi"/>
          <w:sz w:val="24"/>
          <w:szCs w:val="24"/>
          <w:vertAlign w:val="superscript"/>
        </w:rPr>
        <w:t>1</w:t>
      </w:r>
      <w:r w:rsidRPr="000620FC">
        <w:rPr>
          <w:rFonts w:cstheme="minorHAnsi"/>
          <w:sz w:val="24"/>
          <w:szCs w:val="24"/>
        </w:rPr>
        <w:t xml:space="preserve">, AR </w:t>
      </w:r>
      <w:r w:rsidRPr="004010D7">
        <w:rPr>
          <w:rFonts w:cstheme="minorHAnsi"/>
          <w:sz w:val="24"/>
          <w:szCs w:val="24"/>
        </w:rPr>
        <w:t>Levine</w:t>
      </w:r>
      <w:r w:rsidR="00F85302" w:rsidRPr="004010D7">
        <w:rPr>
          <w:rFonts w:cstheme="minorHAnsi"/>
          <w:sz w:val="24"/>
          <w:szCs w:val="24"/>
          <w:vertAlign w:val="superscript"/>
        </w:rPr>
        <w:t>1</w:t>
      </w:r>
      <w:r w:rsidRPr="004010D7">
        <w:rPr>
          <w:rFonts w:cstheme="minorHAnsi"/>
          <w:sz w:val="24"/>
          <w:szCs w:val="24"/>
        </w:rPr>
        <w:t>, L McMann</w:t>
      </w:r>
      <w:r w:rsidR="00F85302" w:rsidRPr="004010D7">
        <w:rPr>
          <w:rFonts w:cstheme="minorHAnsi"/>
          <w:sz w:val="24"/>
          <w:szCs w:val="24"/>
          <w:vertAlign w:val="superscript"/>
        </w:rPr>
        <w:t>1</w:t>
      </w:r>
      <w:r w:rsidRPr="004010D7">
        <w:rPr>
          <w:rFonts w:cstheme="minorHAnsi"/>
          <w:sz w:val="24"/>
          <w:szCs w:val="24"/>
        </w:rPr>
        <w:t>, C Dempsey</w:t>
      </w:r>
      <w:r w:rsidR="00F85302" w:rsidRPr="004010D7">
        <w:rPr>
          <w:rFonts w:cstheme="minorHAnsi"/>
          <w:sz w:val="24"/>
          <w:szCs w:val="24"/>
          <w:vertAlign w:val="superscript"/>
        </w:rPr>
        <w:t>1</w:t>
      </w:r>
      <w:r w:rsidR="00F85302" w:rsidRPr="004010D7">
        <w:rPr>
          <w:rFonts w:cstheme="minorHAnsi"/>
          <w:sz w:val="24"/>
          <w:szCs w:val="24"/>
        </w:rPr>
        <w:t>, D O’Sullivan</w:t>
      </w:r>
      <w:r w:rsidR="00F85302" w:rsidRPr="004010D7">
        <w:rPr>
          <w:rFonts w:cstheme="minorHAnsi"/>
          <w:sz w:val="24"/>
          <w:szCs w:val="24"/>
          <w:vertAlign w:val="superscript"/>
        </w:rPr>
        <w:t>2</w:t>
      </w:r>
      <w:r w:rsidRPr="004010D7">
        <w:rPr>
          <w:rFonts w:cstheme="minorHAnsi"/>
          <w:sz w:val="24"/>
          <w:szCs w:val="24"/>
        </w:rPr>
        <w:t xml:space="preserve">; </w:t>
      </w:r>
      <w:r w:rsidR="00F20B84">
        <w:rPr>
          <w:rFonts w:cstheme="minorHAnsi"/>
          <w:sz w:val="24"/>
          <w:szCs w:val="24"/>
        </w:rPr>
        <w:t xml:space="preserve">Department of Pharmacy Services, </w:t>
      </w:r>
      <w:r w:rsidR="009737CA" w:rsidRPr="004010D7">
        <w:rPr>
          <w:rFonts w:cstheme="minorHAnsi"/>
          <w:sz w:val="24"/>
          <w:szCs w:val="24"/>
        </w:rPr>
        <w:t xml:space="preserve">The </w:t>
      </w:r>
      <w:r w:rsidRPr="004010D7">
        <w:rPr>
          <w:rFonts w:cstheme="minorHAnsi"/>
          <w:sz w:val="24"/>
          <w:szCs w:val="24"/>
        </w:rPr>
        <w:t>Hospital of Central Connecticut, New Britain, Connecticut</w:t>
      </w:r>
      <w:r w:rsidR="00F85302" w:rsidRPr="004010D7">
        <w:rPr>
          <w:rFonts w:cstheme="minorHAnsi"/>
          <w:sz w:val="24"/>
          <w:szCs w:val="24"/>
          <w:vertAlign w:val="superscript"/>
        </w:rPr>
        <w:t>1</w:t>
      </w:r>
      <w:r w:rsidR="00F85302" w:rsidRPr="004010D7">
        <w:rPr>
          <w:rFonts w:cstheme="minorHAnsi"/>
          <w:sz w:val="24"/>
          <w:szCs w:val="24"/>
        </w:rPr>
        <w:t xml:space="preserve"> and </w:t>
      </w:r>
      <w:r w:rsidR="004010D7" w:rsidRPr="00A47A45">
        <w:rPr>
          <w:sz w:val="24"/>
          <w:szCs w:val="24"/>
        </w:rPr>
        <w:t>Department of Research Administration, Hartford Hospital, Hartford CT</w:t>
      </w:r>
      <w:r w:rsidR="004010D7" w:rsidRPr="00A47A45">
        <w:rPr>
          <w:sz w:val="24"/>
          <w:szCs w:val="24"/>
          <w:vertAlign w:val="superscript"/>
        </w:rPr>
        <w:t>2</w:t>
      </w:r>
    </w:p>
    <w:p w14:paraId="3A3970A0" w14:textId="5F2A3B88" w:rsidR="00DB0FB5" w:rsidRPr="007C49E3" w:rsidRDefault="007C49E3">
      <w:pPr>
        <w:rPr>
          <w:rFonts w:cstheme="minorHAnsi"/>
          <w:sz w:val="24"/>
          <w:szCs w:val="24"/>
        </w:rPr>
      </w:pPr>
      <w:r w:rsidRPr="00F85302">
        <w:rPr>
          <w:rFonts w:cstheme="minorHAnsi"/>
          <w:sz w:val="24"/>
          <w:szCs w:val="24"/>
        </w:rPr>
        <w:t>Background</w:t>
      </w:r>
      <w:r w:rsidRPr="007C49E3">
        <w:rPr>
          <w:rFonts w:cstheme="minorHAnsi"/>
          <w:sz w:val="24"/>
          <w:szCs w:val="24"/>
        </w:rPr>
        <w:t xml:space="preserve"> </w:t>
      </w:r>
    </w:p>
    <w:p w14:paraId="59F0CE34" w14:textId="0535C2B0" w:rsidR="00DB0FB5" w:rsidRPr="000620FC" w:rsidRDefault="00980B8F">
      <w:pPr>
        <w:rPr>
          <w:rFonts w:cstheme="minorHAnsi"/>
          <w:sz w:val="24"/>
          <w:szCs w:val="24"/>
        </w:rPr>
      </w:pPr>
      <w:bookmarkStart w:id="0" w:name="_Hlk126829583"/>
      <w:r w:rsidRPr="004743E7">
        <w:rPr>
          <w:rFonts w:cstheme="minorHAnsi"/>
          <w:iCs/>
          <w:sz w:val="24"/>
          <w:szCs w:val="24"/>
        </w:rPr>
        <w:t xml:space="preserve">Clostridioides </w:t>
      </w:r>
      <w:r w:rsidR="00DB0FB5" w:rsidRPr="00A47A45">
        <w:rPr>
          <w:rFonts w:cstheme="minorHAnsi"/>
          <w:iCs/>
          <w:sz w:val="24"/>
          <w:szCs w:val="24"/>
        </w:rPr>
        <w:t>difficil</w:t>
      </w:r>
      <w:r w:rsidR="00942E4D">
        <w:rPr>
          <w:rFonts w:cstheme="minorHAnsi"/>
          <w:iCs/>
          <w:sz w:val="24"/>
          <w:szCs w:val="24"/>
        </w:rPr>
        <w:t>e i</w:t>
      </w:r>
      <w:r w:rsidR="00DB0FB5" w:rsidRPr="000620FC">
        <w:rPr>
          <w:rFonts w:cstheme="minorHAnsi"/>
          <w:sz w:val="24"/>
          <w:szCs w:val="24"/>
        </w:rPr>
        <w:t>nfection</w:t>
      </w:r>
      <w:r>
        <w:rPr>
          <w:rFonts w:cstheme="minorHAnsi"/>
          <w:sz w:val="24"/>
          <w:szCs w:val="24"/>
        </w:rPr>
        <w:t xml:space="preserve"> (CDI)</w:t>
      </w:r>
      <w:r w:rsidR="00DB0FB5" w:rsidRPr="000620FC">
        <w:rPr>
          <w:rFonts w:cstheme="minorHAnsi"/>
          <w:sz w:val="24"/>
          <w:szCs w:val="24"/>
        </w:rPr>
        <w:t xml:space="preserve"> is a common cause of antibiotic-associated diarrhe</w:t>
      </w:r>
      <w:r w:rsidR="00904B97">
        <w:rPr>
          <w:rFonts w:cstheme="minorHAnsi"/>
          <w:sz w:val="24"/>
          <w:szCs w:val="24"/>
        </w:rPr>
        <w:t>a</w:t>
      </w:r>
      <w:r w:rsidR="00907234">
        <w:rPr>
          <w:rFonts w:cstheme="minorHAnsi"/>
          <w:sz w:val="24"/>
          <w:szCs w:val="24"/>
        </w:rPr>
        <w:t>.</w:t>
      </w:r>
      <w:r w:rsidR="0007616A">
        <w:rPr>
          <w:rFonts w:cstheme="minorHAnsi"/>
          <w:sz w:val="24"/>
          <w:szCs w:val="24"/>
        </w:rPr>
        <w:t xml:space="preserve"> </w:t>
      </w:r>
      <w:r w:rsidR="00907234">
        <w:rPr>
          <w:rFonts w:cstheme="minorHAnsi"/>
          <w:sz w:val="24"/>
          <w:szCs w:val="24"/>
        </w:rPr>
        <w:t>E</w:t>
      </w:r>
      <w:r w:rsidR="00B5575F">
        <w:rPr>
          <w:rFonts w:cstheme="minorHAnsi"/>
          <w:sz w:val="24"/>
          <w:szCs w:val="24"/>
        </w:rPr>
        <w:t xml:space="preserve">ach infectious episode increases the risk </w:t>
      </w:r>
      <w:r w:rsidR="005839D3">
        <w:rPr>
          <w:rFonts w:cstheme="minorHAnsi"/>
          <w:sz w:val="24"/>
          <w:szCs w:val="24"/>
        </w:rPr>
        <w:t>for</w:t>
      </w:r>
      <w:r w:rsidR="00B5575F">
        <w:rPr>
          <w:rFonts w:cstheme="minorHAnsi"/>
          <w:sz w:val="24"/>
          <w:szCs w:val="24"/>
        </w:rPr>
        <w:t xml:space="preserve"> recurrence</w:t>
      </w:r>
      <w:r w:rsidR="009737CA">
        <w:rPr>
          <w:rFonts w:cstheme="minorHAnsi"/>
          <w:sz w:val="24"/>
          <w:szCs w:val="24"/>
        </w:rPr>
        <w:t>,</w:t>
      </w:r>
      <w:r w:rsidR="00904B97">
        <w:rPr>
          <w:rFonts w:cstheme="minorHAnsi"/>
          <w:sz w:val="24"/>
          <w:szCs w:val="24"/>
        </w:rPr>
        <w:t xml:space="preserve"> </w:t>
      </w:r>
      <w:r w:rsidR="0007616A">
        <w:rPr>
          <w:rFonts w:cstheme="minorHAnsi"/>
          <w:sz w:val="24"/>
          <w:szCs w:val="24"/>
        </w:rPr>
        <w:t>resulting in</w:t>
      </w:r>
      <w:r w:rsidR="00B5575F">
        <w:rPr>
          <w:rFonts w:cstheme="minorHAnsi"/>
          <w:sz w:val="24"/>
          <w:szCs w:val="24"/>
        </w:rPr>
        <w:t xml:space="preserve"> increased </w:t>
      </w:r>
      <w:r w:rsidR="00B5575F" w:rsidRPr="000620FC">
        <w:rPr>
          <w:rFonts w:cstheme="minorHAnsi"/>
          <w:sz w:val="24"/>
          <w:szCs w:val="24"/>
        </w:rPr>
        <w:t>morbidity and mortality</w:t>
      </w:r>
      <w:r w:rsidR="00B5575F">
        <w:rPr>
          <w:rFonts w:cstheme="minorHAnsi"/>
          <w:sz w:val="24"/>
          <w:szCs w:val="24"/>
        </w:rPr>
        <w:t xml:space="preserve">. </w:t>
      </w:r>
      <w:r w:rsidR="00DB0FB5" w:rsidRPr="000620FC">
        <w:rPr>
          <w:rFonts w:cstheme="minorHAnsi"/>
          <w:sz w:val="24"/>
          <w:szCs w:val="24"/>
        </w:rPr>
        <w:t xml:space="preserve">Oral vancomycin has been extensively studied for the treatment of </w:t>
      </w:r>
      <w:r>
        <w:rPr>
          <w:rFonts w:cstheme="minorHAnsi"/>
          <w:iCs/>
          <w:sz w:val="24"/>
          <w:szCs w:val="24"/>
        </w:rPr>
        <w:t>CDI</w:t>
      </w:r>
      <w:r w:rsidR="00DB0FB5" w:rsidRPr="000620FC">
        <w:rPr>
          <w:rFonts w:cstheme="minorHAnsi"/>
          <w:sz w:val="24"/>
          <w:szCs w:val="24"/>
        </w:rPr>
        <w:t xml:space="preserve">, however there is no formal consensus on </w:t>
      </w:r>
      <w:r w:rsidR="00907234">
        <w:rPr>
          <w:rFonts w:cstheme="minorHAnsi"/>
          <w:sz w:val="24"/>
          <w:szCs w:val="24"/>
        </w:rPr>
        <w:t xml:space="preserve">its </w:t>
      </w:r>
      <w:r w:rsidR="00DB0FB5" w:rsidRPr="000620FC">
        <w:rPr>
          <w:rFonts w:cstheme="minorHAnsi"/>
          <w:sz w:val="24"/>
          <w:szCs w:val="24"/>
        </w:rPr>
        <w:t xml:space="preserve">efficacy in secondary prevention. Evaluating the use of </w:t>
      </w:r>
      <w:r w:rsidR="00CB6F78">
        <w:rPr>
          <w:rFonts w:cstheme="minorHAnsi"/>
          <w:sz w:val="24"/>
          <w:szCs w:val="24"/>
        </w:rPr>
        <w:t xml:space="preserve">OVP </w:t>
      </w:r>
      <w:r w:rsidR="00DB0FB5" w:rsidRPr="000620FC">
        <w:rPr>
          <w:rFonts w:cstheme="minorHAnsi"/>
          <w:sz w:val="24"/>
          <w:szCs w:val="24"/>
        </w:rPr>
        <w:t xml:space="preserve">in patients </w:t>
      </w:r>
      <w:r w:rsidR="00A943FB" w:rsidRPr="00A943FB">
        <w:rPr>
          <w:rFonts w:cstheme="minorHAnsi"/>
          <w:sz w:val="24"/>
          <w:szCs w:val="24"/>
        </w:rPr>
        <w:t xml:space="preserve">at high risk for </w:t>
      </w:r>
      <w:r w:rsidR="009737CA">
        <w:rPr>
          <w:rFonts w:cstheme="minorHAnsi"/>
          <w:sz w:val="24"/>
          <w:szCs w:val="24"/>
        </w:rPr>
        <w:t xml:space="preserve">recurrent </w:t>
      </w:r>
      <w:r>
        <w:rPr>
          <w:rFonts w:cstheme="minorHAnsi"/>
          <w:sz w:val="24"/>
          <w:szCs w:val="24"/>
        </w:rPr>
        <w:t>CDI</w:t>
      </w:r>
      <w:r w:rsidR="00A943FB" w:rsidRPr="00A943FB">
        <w:rPr>
          <w:rFonts w:cstheme="minorHAnsi"/>
          <w:sz w:val="24"/>
          <w:szCs w:val="24"/>
        </w:rPr>
        <w:t xml:space="preserve"> may provide </w:t>
      </w:r>
      <w:r w:rsidR="00A943FB">
        <w:rPr>
          <w:rFonts w:cstheme="minorHAnsi"/>
          <w:sz w:val="24"/>
          <w:szCs w:val="24"/>
        </w:rPr>
        <w:t>additional</w:t>
      </w:r>
      <w:r w:rsidR="00A943FB" w:rsidRPr="000620FC">
        <w:rPr>
          <w:rFonts w:cstheme="minorHAnsi"/>
          <w:sz w:val="24"/>
          <w:szCs w:val="24"/>
        </w:rPr>
        <w:t xml:space="preserve"> </w:t>
      </w:r>
      <w:r w:rsidR="005918BD">
        <w:rPr>
          <w:rFonts w:cstheme="minorHAnsi"/>
          <w:sz w:val="24"/>
          <w:szCs w:val="24"/>
        </w:rPr>
        <w:t xml:space="preserve">evidence for </w:t>
      </w:r>
      <w:r w:rsidR="00DB0FB5" w:rsidRPr="000620FC">
        <w:rPr>
          <w:rFonts w:cstheme="minorHAnsi"/>
          <w:sz w:val="24"/>
          <w:szCs w:val="24"/>
        </w:rPr>
        <w:t xml:space="preserve">efficacy </w:t>
      </w:r>
      <w:r w:rsidR="004743E7">
        <w:rPr>
          <w:rFonts w:cstheme="minorHAnsi"/>
          <w:sz w:val="24"/>
          <w:szCs w:val="24"/>
        </w:rPr>
        <w:t>i</w:t>
      </w:r>
      <w:r w:rsidR="00DB0FB5" w:rsidRPr="000620FC">
        <w:rPr>
          <w:rFonts w:cstheme="minorHAnsi"/>
          <w:sz w:val="24"/>
          <w:szCs w:val="24"/>
        </w:rPr>
        <w:t>n secondary prevention and help guide clinicians with selecting an appropriate dose and duration of therapy.</w:t>
      </w:r>
    </w:p>
    <w:bookmarkEnd w:id="0"/>
    <w:p w14:paraId="48CAD621" w14:textId="723AB050" w:rsidR="00DB0FB5" w:rsidRPr="007C49E3" w:rsidRDefault="002662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Methods </w:t>
      </w:r>
    </w:p>
    <w:p w14:paraId="227E8B34" w14:textId="7E394B39" w:rsidR="005F4742" w:rsidRPr="000620FC" w:rsidRDefault="00DB0FB5">
      <w:pPr>
        <w:rPr>
          <w:rFonts w:cstheme="minorHAnsi"/>
          <w:sz w:val="24"/>
          <w:szCs w:val="24"/>
        </w:rPr>
      </w:pPr>
      <w:bookmarkStart w:id="1" w:name="_Hlk126829561"/>
      <w:r w:rsidRPr="000620FC">
        <w:rPr>
          <w:rFonts w:cstheme="minorHAnsi"/>
          <w:sz w:val="24"/>
          <w:szCs w:val="24"/>
        </w:rPr>
        <w:t xml:space="preserve">This study </w:t>
      </w:r>
      <w:r w:rsidR="000620FC" w:rsidRPr="000620FC">
        <w:rPr>
          <w:rFonts w:cstheme="minorHAnsi"/>
          <w:sz w:val="24"/>
          <w:szCs w:val="24"/>
        </w:rPr>
        <w:t>was</w:t>
      </w:r>
      <w:r w:rsidRPr="000620FC">
        <w:rPr>
          <w:rFonts w:cstheme="minorHAnsi"/>
          <w:sz w:val="24"/>
          <w:szCs w:val="24"/>
        </w:rPr>
        <w:t xml:space="preserve"> </w:t>
      </w:r>
      <w:r w:rsidR="00B5575F">
        <w:rPr>
          <w:rFonts w:cstheme="minorHAnsi"/>
          <w:sz w:val="24"/>
          <w:szCs w:val="24"/>
        </w:rPr>
        <w:t>a</w:t>
      </w:r>
      <w:r w:rsidR="007C49E3">
        <w:rPr>
          <w:rFonts w:cstheme="minorHAnsi"/>
          <w:sz w:val="24"/>
          <w:szCs w:val="24"/>
        </w:rPr>
        <w:t xml:space="preserve">n Institutional Review Board </w:t>
      </w:r>
      <w:r w:rsidR="00942E4D">
        <w:rPr>
          <w:rFonts w:cstheme="minorHAnsi"/>
          <w:sz w:val="24"/>
          <w:szCs w:val="24"/>
        </w:rPr>
        <w:t>approved</w:t>
      </w:r>
      <w:r w:rsidRPr="000620FC">
        <w:rPr>
          <w:rFonts w:cstheme="minorHAnsi"/>
          <w:sz w:val="24"/>
          <w:szCs w:val="24"/>
        </w:rPr>
        <w:t xml:space="preserve"> </w:t>
      </w:r>
      <w:r w:rsidR="00393D55">
        <w:rPr>
          <w:rFonts w:cstheme="minorHAnsi"/>
          <w:sz w:val="24"/>
          <w:szCs w:val="24"/>
        </w:rPr>
        <w:t>multicenter</w:t>
      </w:r>
      <w:r w:rsidRPr="000620FC">
        <w:rPr>
          <w:rFonts w:cstheme="minorHAnsi"/>
          <w:sz w:val="24"/>
          <w:szCs w:val="24"/>
        </w:rPr>
        <w:t xml:space="preserve">, retrospective chart review within a large healthcare system that </w:t>
      </w:r>
      <w:r w:rsidR="000620FC" w:rsidRPr="000620FC">
        <w:rPr>
          <w:rFonts w:cstheme="minorHAnsi"/>
          <w:sz w:val="24"/>
          <w:szCs w:val="24"/>
        </w:rPr>
        <w:t>eva</w:t>
      </w:r>
      <w:r w:rsidR="00B76798">
        <w:rPr>
          <w:rFonts w:cstheme="minorHAnsi"/>
          <w:sz w:val="24"/>
          <w:szCs w:val="24"/>
        </w:rPr>
        <w:t>luated</w:t>
      </w:r>
      <w:r w:rsidR="000620FC" w:rsidRPr="000620FC">
        <w:rPr>
          <w:rFonts w:cstheme="minorHAnsi"/>
          <w:sz w:val="24"/>
          <w:szCs w:val="24"/>
        </w:rPr>
        <w:t xml:space="preserve"> the</w:t>
      </w:r>
      <w:r w:rsidRPr="000620FC">
        <w:rPr>
          <w:rFonts w:cstheme="minorHAnsi"/>
          <w:sz w:val="24"/>
          <w:szCs w:val="24"/>
        </w:rPr>
        <w:t xml:space="preserve"> efficacy of </w:t>
      </w:r>
      <w:r w:rsidR="00CB6F78">
        <w:rPr>
          <w:rFonts w:cstheme="minorHAnsi"/>
          <w:sz w:val="24"/>
          <w:szCs w:val="24"/>
        </w:rPr>
        <w:t>OVP</w:t>
      </w:r>
      <w:r w:rsidRPr="000620FC">
        <w:rPr>
          <w:rFonts w:cstheme="minorHAnsi"/>
          <w:sz w:val="24"/>
          <w:szCs w:val="24"/>
        </w:rPr>
        <w:t xml:space="preserve"> to prevent recurrent </w:t>
      </w:r>
      <w:r w:rsidR="00980B8F">
        <w:rPr>
          <w:rFonts w:cstheme="minorHAnsi"/>
          <w:iCs/>
          <w:sz w:val="24"/>
          <w:szCs w:val="24"/>
        </w:rPr>
        <w:t>CDI</w:t>
      </w:r>
      <w:r w:rsidRPr="000620FC">
        <w:rPr>
          <w:rFonts w:cstheme="minorHAnsi"/>
          <w:sz w:val="24"/>
          <w:szCs w:val="24"/>
        </w:rPr>
        <w:t xml:space="preserve"> in patients at high risk for recurrence who received systemic antibiotics between September 3, </w:t>
      </w:r>
      <w:r w:rsidR="0027167B" w:rsidRPr="000620FC">
        <w:rPr>
          <w:rFonts w:cstheme="minorHAnsi"/>
          <w:sz w:val="24"/>
          <w:szCs w:val="24"/>
        </w:rPr>
        <w:t>2019,</w:t>
      </w:r>
      <w:r w:rsidR="009737CA">
        <w:rPr>
          <w:rFonts w:cstheme="minorHAnsi"/>
          <w:sz w:val="24"/>
          <w:szCs w:val="24"/>
        </w:rPr>
        <w:t xml:space="preserve"> </w:t>
      </w:r>
      <w:r w:rsidRPr="000620FC">
        <w:rPr>
          <w:rFonts w:cstheme="minorHAnsi"/>
          <w:sz w:val="24"/>
          <w:szCs w:val="24"/>
        </w:rPr>
        <w:t xml:space="preserve">and </w:t>
      </w:r>
      <w:r w:rsidR="0009234E" w:rsidRPr="000620FC">
        <w:rPr>
          <w:rFonts w:cstheme="minorHAnsi"/>
          <w:sz w:val="24"/>
          <w:szCs w:val="24"/>
        </w:rPr>
        <w:t>December</w:t>
      </w:r>
      <w:r w:rsidRPr="000620FC">
        <w:rPr>
          <w:rFonts w:cstheme="minorHAnsi"/>
          <w:sz w:val="24"/>
          <w:szCs w:val="24"/>
        </w:rPr>
        <w:t xml:space="preserve"> 31, 2022. Patients </w:t>
      </w:r>
      <w:r w:rsidR="000620FC" w:rsidRPr="000620FC">
        <w:rPr>
          <w:rFonts w:cstheme="minorHAnsi"/>
          <w:sz w:val="24"/>
          <w:szCs w:val="24"/>
        </w:rPr>
        <w:t xml:space="preserve">were </w:t>
      </w:r>
      <w:r w:rsidRPr="000620FC">
        <w:rPr>
          <w:rFonts w:cstheme="minorHAnsi"/>
          <w:sz w:val="24"/>
          <w:szCs w:val="24"/>
        </w:rPr>
        <w:t xml:space="preserve">included if they </w:t>
      </w:r>
      <w:r w:rsidR="000620FC" w:rsidRPr="000620FC">
        <w:rPr>
          <w:rFonts w:cstheme="minorHAnsi"/>
          <w:sz w:val="24"/>
          <w:szCs w:val="24"/>
        </w:rPr>
        <w:t>were</w:t>
      </w:r>
      <w:r w:rsidRPr="000620FC">
        <w:rPr>
          <w:rFonts w:cstheme="minorHAnsi"/>
          <w:sz w:val="24"/>
          <w:szCs w:val="24"/>
        </w:rPr>
        <w:t xml:space="preserve"> 65 years or older, or at least 18 years old and immunocompromised, with a history of </w:t>
      </w:r>
      <w:r w:rsidR="00980B8F">
        <w:rPr>
          <w:rFonts w:cstheme="minorHAnsi"/>
          <w:iCs/>
          <w:sz w:val="24"/>
          <w:szCs w:val="24"/>
        </w:rPr>
        <w:t>CDI</w:t>
      </w:r>
      <w:r w:rsidRPr="000620FC">
        <w:rPr>
          <w:rFonts w:cstheme="minorHAnsi"/>
          <w:sz w:val="24"/>
          <w:szCs w:val="24"/>
        </w:rPr>
        <w:t xml:space="preserve"> in the past 12 months</w:t>
      </w:r>
      <w:r w:rsidR="00AC16D4">
        <w:rPr>
          <w:rFonts w:cstheme="minorHAnsi"/>
          <w:sz w:val="24"/>
          <w:szCs w:val="24"/>
        </w:rPr>
        <w:t>,</w:t>
      </w:r>
      <w:r w:rsidRPr="000620FC">
        <w:rPr>
          <w:rFonts w:cstheme="minorHAnsi"/>
          <w:sz w:val="24"/>
          <w:szCs w:val="24"/>
        </w:rPr>
        <w:t xml:space="preserve"> who received at least one</w:t>
      </w:r>
      <w:r w:rsidR="00DF37C9">
        <w:rPr>
          <w:rFonts w:cstheme="minorHAnsi"/>
          <w:sz w:val="24"/>
          <w:szCs w:val="24"/>
        </w:rPr>
        <w:t xml:space="preserve"> dose of a systemic antibiotic. </w:t>
      </w:r>
      <w:r w:rsidR="00AC16D4">
        <w:rPr>
          <w:rFonts w:cstheme="minorHAnsi"/>
          <w:sz w:val="24"/>
          <w:szCs w:val="24"/>
        </w:rPr>
        <w:t>High-risk patients receiving</w:t>
      </w:r>
      <w:r w:rsidRPr="000620FC">
        <w:rPr>
          <w:rFonts w:cstheme="minorHAnsi"/>
          <w:sz w:val="24"/>
          <w:szCs w:val="24"/>
        </w:rPr>
        <w:t xml:space="preserve"> </w:t>
      </w:r>
      <w:r w:rsidR="00CB6F78">
        <w:rPr>
          <w:rFonts w:cstheme="minorHAnsi"/>
          <w:sz w:val="24"/>
          <w:szCs w:val="24"/>
        </w:rPr>
        <w:t xml:space="preserve">OVP </w:t>
      </w:r>
      <w:r w:rsidR="000620FC" w:rsidRPr="000620FC">
        <w:rPr>
          <w:rFonts w:cstheme="minorHAnsi"/>
          <w:sz w:val="24"/>
          <w:szCs w:val="24"/>
        </w:rPr>
        <w:t>were c</w:t>
      </w:r>
      <w:r w:rsidRPr="000620FC">
        <w:rPr>
          <w:rFonts w:cstheme="minorHAnsi"/>
          <w:sz w:val="24"/>
          <w:szCs w:val="24"/>
        </w:rPr>
        <w:t xml:space="preserve">ompared against high-risk patients who qualified yet did not receive secondary </w:t>
      </w:r>
      <w:r w:rsidR="00CB6F78">
        <w:rPr>
          <w:rFonts w:cstheme="minorHAnsi"/>
          <w:sz w:val="24"/>
          <w:szCs w:val="24"/>
        </w:rPr>
        <w:t>OVP</w:t>
      </w:r>
      <w:r w:rsidRPr="000620FC">
        <w:rPr>
          <w:rFonts w:cstheme="minorHAnsi"/>
          <w:sz w:val="24"/>
          <w:szCs w:val="24"/>
        </w:rPr>
        <w:t xml:space="preserve">. Patients </w:t>
      </w:r>
      <w:r w:rsidR="000620FC" w:rsidRPr="000620FC">
        <w:rPr>
          <w:rFonts w:cstheme="minorHAnsi"/>
          <w:sz w:val="24"/>
          <w:szCs w:val="24"/>
        </w:rPr>
        <w:t xml:space="preserve">were </w:t>
      </w:r>
      <w:r w:rsidRPr="000620FC">
        <w:rPr>
          <w:rFonts w:cstheme="minorHAnsi"/>
          <w:sz w:val="24"/>
          <w:szCs w:val="24"/>
        </w:rPr>
        <w:t>excluded from this study if they ha</w:t>
      </w:r>
      <w:r w:rsidR="000620FC" w:rsidRPr="000620FC">
        <w:rPr>
          <w:rFonts w:cstheme="minorHAnsi"/>
          <w:sz w:val="24"/>
          <w:szCs w:val="24"/>
        </w:rPr>
        <w:t>d</w:t>
      </w:r>
      <w:r w:rsidRPr="000620FC">
        <w:rPr>
          <w:rFonts w:cstheme="minorHAnsi"/>
          <w:sz w:val="24"/>
          <w:szCs w:val="24"/>
        </w:rPr>
        <w:t xml:space="preserve"> an oral vancomycin allergy, received concurrent treatment with fidaxomicin, </w:t>
      </w:r>
      <w:r w:rsidR="000620FC" w:rsidRPr="000620FC">
        <w:rPr>
          <w:rFonts w:cstheme="minorHAnsi"/>
          <w:sz w:val="24"/>
          <w:szCs w:val="24"/>
        </w:rPr>
        <w:t>were</w:t>
      </w:r>
      <w:r w:rsidRPr="000620FC">
        <w:rPr>
          <w:rFonts w:cstheme="minorHAnsi"/>
          <w:sz w:val="24"/>
          <w:szCs w:val="24"/>
        </w:rPr>
        <w:t xml:space="preserve"> not categorized as high-risk, or </w:t>
      </w:r>
      <w:r w:rsidR="000620FC" w:rsidRPr="000620FC">
        <w:rPr>
          <w:rFonts w:cstheme="minorHAnsi"/>
          <w:sz w:val="24"/>
          <w:szCs w:val="24"/>
        </w:rPr>
        <w:t>were</w:t>
      </w:r>
      <w:r w:rsidRPr="000620FC">
        <w:rPr>
          <w:rFonts w:cstheme="minorHAnsi"/>
          <w:sz w:val="24"/>
          <w:szCs w:val="24"/>
        </w:rPr>
        <w:t xml:space="preserve"> hospice patients not expected to survive</w:t>
      </w:r>
      <w:r w:rsidR="00AC16D4">
        <w:rPr>
          <w:rFonts w:cstheme="minorHAnsi"/>
          <w:sz w:val="24"/>
          <w:szCs w:val="24"/>
        </w:rPr>
        <w:t xml:space="preserve"> the</w:t>
      </w:r>
      <w:r w:rsidRPr="000620FC">
        <w:rPr>
          <w:rFonts w:cstheme="minorHAnsi"/>
          <w:sz w:val="24"/>
          <w:szCs w:val="24"/>
        </w:rPr>
        <w:t xml:space="preserve"> hospital stay.</w:t>
      </w:r>
      <w:r w:rsidR="00FD596D">
        <w:rPr>
          <w:rFonts w:cstheme="minorHAnsi"/>
          <w:sz w:val="24"/>
          <w:szCs w:val="24"/>
        </w:rPr>
        <w:t xml:space="preserve"> The</w:t>
      </w:r>
      <w:r w:rsidRPr="000620FC">
        <w:rPr>
          <w:rFonts w:cstheme="minorHAnsi"/>
          <w:sz w:val="24"/>
          <w:szCs w:val="24"/>
        </w:rPr>
        <w:t xml:space="preserve"> </w:t>
      </w:r>
      <w:r w:rsidR="005F4742">
        <w:rPr>
          <w:rFonts w:cstheme="minorHAnsi"/>
          <w:sz w:val="24"/>
          <w:szCs w:val="24"/>
        </w:rPr>
        <w:t>primary outcome was</w:t>
      </w:r>
      <w:r w:rsidR="00FD596D">
        <w:rPr>
          <w:rFonts w:cstheme="minorHAnsi"/>
          <w:sz w:val="24"/>
          <w:szCs w:val="24"/>
        </w:rPr>
        <w:t xml:space="preserve"> </w:t>
      </w:r>
      <w:r w:rsidR="00980B8F">
        <w:rPr>
          <w:rFonts w:cstheme="minorHAnsi"/>
          <w:iCs/>
          <w:sz w:val="24"/>
          <w:szCs w:val="24"/>
        </w:rPr>
        <w:t xml:space="preserve">CDI </w:t>
      </w:r>
      <w:r w:rsidR="00FD596D" w:rsidRPr="000620FC">
        <w:rPr>
          <w:rFonts w:cstheme="minorHAnsi"/>
          <w:sz w:val="24"/>
          <w:szCs w:val="24"/>
        </w:rPr>
        <w:t>within 90 days of discontinuing systemic</w:t>
      </w:r>
      <w:r w:rsidR="00FD596D">
        <w:rPr>
          <w:rFonts w:cstheme="minorHAnsi"/>
          <w:sz w:val="24"/>
          <w:szCs w:val="24"/>
        </w:rPr>
        <w:t xml:space="preserve"> antibiotics</w:t>
      </w:r>
      <w:r w:rsidR="005F4742">
        <w:rPr>
          <w:rFonts w:cstheme="minorHAnsi"/>
          <w:sz w:val="24"/>
          <w:szCs w:val="24"/>
        </w:rPr>
        <w:t>.</w:t>
      </w:r>
      <w:r w:rsidR="00980B8F">
        <w:rPr>
          <w:rFonts w:cstheme="minorHAnsi"/>
          <w:sz w:val="24"/>
          <w:szCs w:val="24"/>
        </w:rPr>
        <w:t xml:space="preserve"> S</w:t>
      </w:r>
      <w:r w:rsidR="009F1669">
        <w:rPr>
          <w:rFonts w:cstheme="minorHAnsi"/>
          <w:sz w:val="24"/>
          <w:szCs w:val="24"/>
        </w:rPr>
        <w:t>econdary outcomes included</w:t>
      </w:r>
      <w:r w:rsidR="00980B8F">
        <w:rPr>
          <w:rFonts w:cstheme="minorHAnsi"/>
          <w:sz w:val="24"/>
          <w:szCs w:val="24"/>
        </w:rPr>
        <w:t xml:space="preserve"> any CDI reoccurrence</w:t>
      </w:r>
      <w:r w:rsidR="00CB6F78">
        <w:rPr>
          <w:rFonts w:cstheme="minorHAnsi"/>
          <w:sz w:val="24"/>
          <w:szCs w:val="24"/>
        </w:rPr>
        <w:t xml:space="preserve"> within 90 days</w:t>
      </w:r>
      <w:r w:rsidR="00980B8F">
        <w:rPr>
          <w:rFonts w:cstheme="minorHAnsi"/>
          <w:sz w:val="24"/>
          <w:szCs w:val="24"/>
        </w:rPr>
        <w:t xml:space="preserve"> that led to</w:t>
      </w:r>
      <w:r w:rsidR="009F1669">
        <w:rPr>
          <w:rFonts w:cstheme="minorHAnsi"/>
          <w:sz w:val="24"/>
          <w:szCs w:val="24"/>
        </w:rPr>
        <w:t xml:space="preserve"> h</w:t>
      </w:r>
      <w:r w:rsidR="005F4742" w:rsidRPr="005F4742">
        <w:rPr>
          <w:rFonts w:cstheme="minorHAnsi"/>
          <w:sz w:val="24"/>
          <w:szCs w:val="24"/>
        </w:rPr>
        <w:t>ospitalization</w:t>
      </w:r>
      <w:r w:rsidR="00980B8F">
        <w:rPr>
          <w:rFonts w:cstheme="minorHAnsi"/>
          <w:sz w:val="24"/>
          <w:szCs w:val="24"/>
        </w:rPr>
        <w:t xml:space="preserve"> or death</w:t>
      </w:r>
      <w:r w:rsidR="00F30C4E">
        <w:rPr>
          <w:rFonts w:cstheme="minorHAnsi"/>
          <w:sz w:val="24"/>
          <w:szCs w:val="24"/>
        </w:rPr>
        <w:t xml:space="preserve"> due to all causes</w:t>
      </w:r>
      <w:r w:rsidR="00980B8F">
        <w:rPr>
          <w:rFonts w:cstheme="minorHAnsi"/>
          <w:sz w:val="24"/>
          <w:szCs w:val="24"/>
        </w:rPr>
        <w:t xml:space="preserve">. </w:t>
      </w:r>
      <w:r w:rsidR="00CB6F78">
        <w:rPr>
          <w:rFonts w:cstheme="minorHAnsi"/>
          <w:sz w:val="24"/>
          <w:szCs w:val="24"/>
        </w:rPr>
        <w:t>Among patients hospitalized for CDI, the length of stay and need for inte</w:t>
      </w:r>
      <w:r w:rsidR="005F4742" w:rsidRPr="005F4742">
        <w:rPr>
          <w:rFonts w:cstheme="minorHAnsi"/>
          <w:sz w:val="24"/>
          <w:szCs w:val="24"/>
        </w:rPr>
        <w:t xml:space="preserve">nsive care unit </w:t>
      </w:r>
      <w:r w:rsidR="004743E7" w:rsidRPr="005F4742">
        <w:rPr>
          <w:rFonts w:cstheme="minorHAnsi"/>
          <w:sz w:val="24"/>
          <w:szCs w:val="24"/>
        </w:rPr>
        <w:t>level of care or surgery</w:t>
      </w:r>
      <w:r w:rsidR="004743E7">
        <w:rPr>
          <w:rFonts w:cstheme="minorHAnsi"/>
          <w:sz w:val="24"/>
          <w:szCs w:val="24"/>
        </w:rPr>
        <w:t xml:space="preserve"> was</w:t>
      </w:r>
      <w:r w:rsidR="00CB6F78">
        <w:rPr>
          <w:rFonts w:cstheme="minorHAnsi"/>
          <w:sz w:val="24"/>
          <w:szCs w:val="24"/>
        </w:rPr>
        <w:t xml:space="preserve"> calculated. </w:t>
      </w:r>
    </w:p>
    <w:bookmarkEnd w:id="1"/>
    <w:p w14:paraId="139C73A3" w14:textId="508ADA15" w:rsidR="00DB0FB5" w:rsidRPr="007C49E3" w:rsidRDefault="00DB0FB5">
      <w:pPr>
        <w:rPr>
          <w:rFonts w:cstheme="minorHAnsi"/>
          <w:sz w:val="24"/>
          <w:szCs w:val="24"/>
        </w:rPr>
      </w:pPr>
      <w:r w:rsidRPr="00F85302">
        <w:rPr>
          <w:rFonts w:cstheme="minorHAnsi"/>
          <w:sz w:val="24"/>
          <w:szCs w:val="24"/>
        </w:rPr>
        <w:t>Results</w:t>
      </w:r>
      <w:r w:rsidR="007C49E3" w:rsidRPr="007C49E3">
        <w:rPr>
          <w:rFonts w:cstheme="minorHAnsi"/>
          <w:sz w:val="24"/>
          <w:szCs w:val="24"/>
        </w:rPr>
        <w:t xml:space="preserve"> </w:t>
      </w:r>
    </w:p>
    <w:p w14:paraId="1828BF00" w14:textId="53320C4C" w:rsidR="000620FC" w:rsidRDefault="0088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t</w:t>
      </w:r>
      <w:r w:rsidR="00024894">
        <w:rPr>
          <w:rFonts w:cstheme="minorHAnsi"/>
          <w:sz w:val="24"/>
          <w:szCs w:val="24"/>
        </w:rPr>
        <w:t xml:space="preserve">he </w:t>
      </w:r>
      <w:r w:rsidR="002E3F6F">
        <w:rPr>
          <w:rFonts w:cstheme="minorHAnsi"/>
          <w:sz w:val="24"/>
          <w:szCs w:val="24"/>
        </w:rPr>
        <w:t>1,</w:t>
      </w:r>
      <w:r w:rsidR="00DC1704">
        <w:rPr>
          <w:rFonts w:cstheme="minorHAnsi"/>
          <w:sz w:val="24"/>
          <w:szCs w:val="24"/>
        </w:rPr>
        <w:t>467</w:t>
      </w:r>
      <w:r w:rsidR="002E3F6F">
        <w:rPr>
          <w:rFonts w:cstheme="minorHAnsi"/>
          <w:sz w:val="24"/>
          <w:szCs w:val="24"/>
        </w:rPr>
        <w:t xml:space="preserve"> screened patients</w:t>
      </w:r>
      <w:r w:rsidR="00AE39D5">
        <w:rPr>
          <w:rFonts w:cstheme="minorHAnsi"/>
          <w:sz w:val="24"/>
          <w:szCs w:val="24"/>
        </w:rPr>
        <w:t xml:space="preserve">, </w:t>
      </w:r>
      <w:r w:rsidR="00B2367A">
        <w:rPr>
          <w:rFonts w:cstheme="minorHAnsi"/>
          <w:sz w:val="24"/>
          <w:szCs w:val="24"/>
        </w:rPr>
        <w:t>a total of 100 patients</w:t>
      </w:r>
      <w:r w:rsidR="00D225EC">
        <w:rPr>
          <w:rFonts w:cstheme="minorHAnsi"/>
          <w:sz w:val="24"/>
          <w:szCs w:val="24"/>
        </w:rPr>
        <w:t xml:space="preserve">, </w:t>
      </w:r>
      <w:r w:rsidR="00497D38">
        <w:rPr>
          <w:rFonts w:cstheme="minorHAnsi"/>
          <w:sz w:val="24"/>
          <w:szCs w:val="24"/>
        </w:rPr>
        <w:t>with</w:t>
      </w:r>
      <w:r w:rsidR="00AE39D5">
        <w:rPr>
          <w:rFonts w:cstheme="minorHAnsi"/>
          <w:sz w:val="24"/>
          <w:szCs w:val="24"/>
        </w:rPr>
        <w:t xml:space="preserve"> </w:t>
      </w:r>
      <w:r w:rsidR="0044798D">
        <w:rPr>
          <w:rFonts w:cstheme="minorHAnsi"/>
          <w:sz w:val="24"/>
          <w:szCs w:val="24"/>
        </w:rPr>
        <w:t xml:space="preserve">50 </w:t>
      </w:r>
      <w:r w:rsidR="00497D38">
        <w:rPr>
          <w:rFonts w:cstheme="minorHAnsi"/>
          <w:sz w:val="24"/>
          <w:szCs w:val="24"/>
        </w:rPr>
        <w:t xml:space="preserve">patients </w:t>
      </w:r>
      <w:r w:rsidR="00B76798">
        <w:rPr>
          <w:rFonts w:cstheme="minorHAnsi"/>
          <w:sz w:val="24"/>
          <w:szCs w:val="24"/>
        </w:rPr>
        <w:t>in each cohort</w:t>
      </w:r>
      <w:r w:rsidR="007B46B2">
        <w:rPr>
          <w:rFonts w:cstheme="minorHAnsi"/>
          <w:sz w:val="24"/>
          <w:szCs w:val="24"/>
        </w:rPr>
        <w:t>,</w:t>
      </w:r>
      <w:r w:rsidR="00AE39D5">
        <w:rPr>
          <w:rFonts w:cstheme="minorHAnsi"/>
          <w:sz w:val="24"/>
          <w:szCs w:val="24"/>
        </w:rPr>
        <w:t xml:space="preserve"> </w:t>
      </w:r>
      <w:r w:rsidR="0044798D">
        <w:rPr>
          <w:rFonts w:cstheme="minorHAnsi"/>
          <w:sz w:val="24"/>
          <w:szCs w:val="24"/>
        </w:rPr>
        <w:t>met</w:t>
      </w:r>
      <w:r w:rsidR="002E3F6F">
        <w:rPr>
          <w:rFonts w:cstheme="minorHAnsi"/>
          <w:sz w:val="24"/>
          <w:szCs w:val="24"/>
        </w:rPr>
        <w:t xml:space="preserve"> </w:t>
      </w:r>
      <w:r w:rsidR="007B46B2">
        <w:rPr>
          <w:rFonts w:cstheme="minorHAnsi"/>
          <w:sz w:val="24"/>
          <w:szCs w:val="24"/>
        </w:rPr>
        <w:t xml:space="preserve">the </w:t>
      </w:r>
      <w:r w:rsidR="002E3F6F">
        <w:rPr>
          <w:rFonts w:cstheme="minorHAnsi"/>
          <w:sz w:val="24"/>
          <w:szCs w:val="24"/>
        </w:rPr>
        <w:t xml:space="preserve">study inclusion criteria. </w:t>
      </w:r>
      <w:r w:rsidR="008A7D19">
        <w:rPr>
          <w:rFonts w:cstheme="minorHAnsi"/>
          <w:sz w:val="24"/>
          <w:szCs w:val="24"/>
        </w:rPr>
        <w:t>Similar b</w:t>
      </w:r>
      <w:r w:rsidR="002E3F6F">
        <w:rPr>
          <w:rFonts w:cstheme="minorHAnsi"/>
          <w:sz w:val="24"/>
          <w:szCs w:val="24"/>
        </w:rPr>
        <w:t>aseline characteristics</w:t>
      </w:r>
      <w:r w:rsidR="00942E4D">
        <w:rPr>
          <w:rStyle w:val="CommentReference"/>
        </w:rPr>
        <w:t xml:space="preserve"> </w:t>
      </w:r>
      <w:r w:rsidR="00942E4D">
        <w:rPr>
          <w:rFonts w:cstheme="minorHAnsi"/>
          <w:sz w:val="24"/>
          <w:szCs w:val="24"/>
        </w:rPr>
        <w:t>bet</w:t>
      </w:r>
      <w:r w:rsidR="00024894">
        <w:rPr>
          <w:rFonts w:cstheme="minorHAnsi"/>
          <w:sz w:val="24"/>
          <w:szCs w:val="24"/>
        </w:rPr>
        <w:t xml:space="preserve">ween groups were </w:t>
      </w:r>
      <w:r w:rsidR="008A7D19">
        <w:rPr>
          <w:rFonts w:cstheme="minorHAnsi"/>
          <w:sz w:val="24"/>
          <w:szCs w:val="24"/>
        </w:rPr>
        <w:t>gender, ethnicity, immunocompromised status</w:t>
      </w:r>
      <w:r w:rsidR="00D225EC">
        <w:rPr>
          <w:rFonts w:cstheme="minorHAnsi"/>
          <w:sz w:val="24"/>
          <w:szCs w:val="24"/>
        </w:rPr>
        <w:t xml:space="preserve">, </w:t>
      </w:r>
      <w:r w:rsidR="008A7D19">
        <w:rPr>
          <w:rFonts w:cstheme="minorHAnsi"/>
          <w:sz w:val="24"/>
          <w:szCs w:val="24"/>
        </w:rPr>
        <w:t>number of</w:t>
      </w:r>
      <w:r w:rsidR="00497D38">
        <w:rPr>
          <w:rFonts w:cstheme="minorHAnsi"/>
          <w:sz w:val="24"/>
          <w:szCs w:val="24"/>
        </w:rPr>
        <w:t xml:space="preserve"> toxin-positive</w:t>
      </w:r>
      <w:r w:rsidR="008A7D19">
        <w:rPr>
          <w:rFonts w:cstheme="minorHAnsi"/>
          <w:sz w:val="24"/>
          <w:szCs w:val="24"/>
        </w:rPr>
        <w:t xml:space="preserve"> </w:t>
      </w:r>
      <w:r w:rsidR="00CB6F78">
        <w:rPr>
          <w:rFonts w:cstheme="minorHAnsi"/>
          <w:sz w:val="24"/>
          <w:szCs w:val="24"/>
        </w:rPr>
        <w:t>CDI</w:t>
      </w:r>
      <w:r w:rsidR="008A7D19">
        <w:rPr>
          <w:rFonts w:cstheme="minorHAnsi"/>
          <w:sz w:val="24"/>
          <w:szCs w:val="24"/>
        </w:rPr>
        <w:t xml:space="preserve"> within 12 months, </w:t>
      </w:r>
      <w:r w:rsidR="00942E4D">
        <w:rPr>
          <w:rFonts w:cstheme="minorHAnsi"/>
          <w:sz w:val="24"/>
          <w:szCs w:val="24"/>
        </w:rPr>
        <w:t xml:space="preserve">and </w:t>
      </w:r>
      <w:r w:rsidR="00497D38">
        <w:rPr>
          <w:rFonts w:cstheme="minorHAnsi"/>
          <w:sz w:val="24"/>
          <w:szCs w:val="24"/>
        </w:rPr>
        <w:t xml:space="preserve">antibiotic </w:t>
      </w:r>
      <w:r w:rsidR="00497D38">
        <w:rPr>
          <w:rFonts w:cstheme="minorHAnsi"/>
          <w:sz w:val="24"/>
          <w:szCs w:val="24"/>
        </w:rPr>
        <w:lastRenderedPageBreak/>
        <w:t xml:space="preserve">choice for initial </w:t>
      </w:r>
      <w:r w:rsidR="00CB6F78">
        <w:rPr>
          <w:rFonts w:cstheme="minorHAnsi"/>
          <w:sz w:val="24"/>
          <w:szCs w:val="24"/>
        </w:rPr>
        <w:t>CDI</w:t>
      </w:r>
      <w:r w:rsidR="00942E4D">
        <w:rPr>
          <w:rFonts w:cstheme="minorHAnsi"/>
          <w:sz w:val="24"/>
          <w:szCs w:val="24"/>
        </w:rPr>
        <w:t>.</w:t>
      </w:r>
      <w:r w:rsidR="002E72A6">
        <w:rPr>
          <w:rFonts w:cstheme="minorHAnsi"/>
          <w:sz w:val="24"/>
          <w:szCs w:val="24"/>
        </w:rPr>
        <w:t xml:space="preserve"> </w:t>
      </w:r>
      <w:r w:rsidR="00B403AF">
        <w:rPr>
          <w:rFonts w:cstheme="minorHAnsi"/>
          <w:sz w:val="24"/>
          <w:szCs w:val="24"/>
        </w:rPr>
        <w:t>Notably, t</w:t>
      </w:r>
      <w:r w:rsidR="000C333C">
        <w:rPr>
          <w:rFonts w:cstheme="minorHAnsi"/>
          <w:sz w:val="24"/>
          <w:szCs w:val="24"/>
        </w:rPr>
        <w:t xml:space="preserve">he </w:t>
      </w:r>
      <w:r w:rsidR="00E211B1">
        <w:rPr>
          <w:rFonts w:cstheme="minorHAnsi"/>
          <w:sz w:val="24"/>
          <w:szCs w:val="24"/>
        </w:rPr>
        <w:t xml:space="preserve">OVP </w:t>
      </w:r>
      <w:r w:rsidR="00B403AF">
        <w:rPr>
          <w:rFonts w:cstheme="minorHAnsi"/>
          <w:sz w:val="24"/>
          <w:szCs w:val="24"/>
        </w:rPr>
        <w:t>cohort was younger, received</w:t>
      </w:r>
      <w:r w:rsidR="000C333C">
        <w:rPr>
          <w:rFonts w:cstheme="minorHAnsi"/>
          <w:sz w:val="24"/>
          <w:szCs w:val="24"/>
        </w:rPr>
        <w:t xml:space="preserve"> a longer duration of therapy for </w:t>
      </w:r>
      <w:r w:rsidR="00B403AF">
        <w:rPr>
          <w:rFonts w:cstheme="minorHAnsi"/>
          <w:sz w:val="24"/>
          <w:szCs w:val="24"/>
        </w:rPr>
        <w:t xml:space="preserve">the initial episode of CDI, had </w:t>
      </w:r>
      <w:r w:rsidR="000C333C">
        <w:rPr>
          <w:rFonts w:cstheme="minorHAnsi"/>
          <w:sz w:val="24"/>
          <w:szCs w:val="24"/>
        </w:rPr>
        <w:t>an increased length of time on systemic antibio</w:t>
      </w:r>
      <w:r w:rsidR="00B403AF">
        <w:rPr>
          <w:rFonts w:cstheme="minorHAnsi"/>
          <w:sz w:val="24"/>
          <w:szCs w:val="24"/>
        </w:rPr>
        <w:t xml:space="preserve">tics, </w:t>
      </w:r>
      <w:r w:rsidR="000C333C">
        <w:rPr>
          <w:rFonts w:cstheme="minorHAnsi"/>
          <w:sz w:val="24"/>
          <w:szCs w:val="24"/>
        </w:rPr>
        <w:t xml:space="preserve">and </w:t>
      </w:r>
      <w:r w:rsidR="00411B5A">
        <w:rPr>
          <w:rFonts w:cstheme="minorHAnsi"/>
          <w:sz w:val="24"/>
          <w:szCs w:val="24"/>
        </w:rPr>
        <w:t>were</w:t>
      </w:r>
      <w:r w:rsidR="00BE1E0A">
        <w:rPr>
          <w:rFonts w:cstheme="minorHAnsi"/>
          <w:sz w:val="24"/>
          <w:szCs w:val="24"/>
        </w:rPr>
        <w:t xml:space="preserve"> </w:t>
      </w:r>
      <w:r w:rsidR="00411B5A">
        <w:rPr>
          <w:rFonts w:cstheme="minorHAnsi"/>
          <w:sz w:val="24"/>
          <w:szCs w:val="24"/>
        </w:rPr>
        <w:t>more likely to have an</w:t>
      </w:r>
      <w:r w:rsidR="000C333C">
        <w:rPr>
          <w:rFonts w:cstheme="minorHAnsi"/>
          <w:sz w:val="24"/>
          <w:szCs w:val="24"/>
        </w:rPr>
        <w:t xml:space="preserve"> </w:t>
      </w:r>
      <w:r w:rsidR="00E211B1">
        <w:rPr>
          <w:rFonts w:cstheme="minorHAnsi"/>
          <w:sz w:val="24"/>
          <w:szCs w:val="24"/>
        </w:rPr>
        <w:t>infectious diseases consult</w:t>
      </w:r>
      <w:r w:rsidR="00B403AF">
        <w:rPr>
          <w:rFonts w:cstheme="minorHAnsi"/>
          <w:sz w:val="24"/>
          <w:szCs w:val="24"/>
        </w:rPr>
        <w:t xml:space="preserve">. Sixty-three percent </w:t>
      </w:r>
      <w:r w:rsidR="0016684B">
        <w:rPr>
          <w:rFonts w:cstheme="minorHAnsi"/>
          <w:sz w:val="24"/>
          <w:szCs w:val="24"/>
        </w:rPr>
        <w:t>of</w:t>
      </w:r>
      <w:r w:rsidR="00AB6146">
        <w:rPr>
          <w:rFonts w:cstheme="minorHAnsi"/>
          <w:sz w:val="24"/>
          <w:szCs w:val="24"/>
        </w:rPr>
        <w:t xml:space="preserve"> patients in the OVP group received more than 125</w:t>
      </w:r>
      <w:r w:rsidR="00BE1E0A">
        <w:rPr>
          <w:rFonts w:cstheme="minorHAnsi"/>
          <w:sz w:val="24"/>
          <w:szCs w:val="24"/>
        </w:rPr>
        <w:t xml:space="preserve"> mg</w:t>
      </w:r>
      <w:r w:rsidR="00AB6146">
        <w:rPr>
          <w:rFonts w:cstheme="minorHAnsi"/>
          <w:sz w:val="24"/>
          <w:szCs w:val="24"/>
        </w:rPr>
        <w:t xml:space="preserve"> of vancomycin per day compared to </w:t>
      </w:r>
      <w:r w:rsidR="006E38B6">
        <w:rPr>
          <w:rFonts w:cstheme="minorHAnsi"/>
          <w:sz w:val="24"/>
          <w:szCs w:val="24"/>
        </w:rPr>
        <w:t>37</w:t>
      </w:r>
      <w:r w:rsidR="0016684B">
        <w:rPr>
          <w:rFonts w:cstheme="minorHAnsi"/>
          <w:sz w:val="24"/>
          <w:szCs w:val="24"/>
        </w:rPr>
        <w:t>% of patients</w:t>
      </w:r>
      <w:r w:rsidR="00AB6146">
        <w:rPr>
          <w:rFonts w:cstheme="minorHAnsi"/>
          <w:sz w:val="24"/>
          <w:szCs w:val="24"/>
        </w:rPr>
        <w:t xml:space="preserve"> </w:t>
      </w:r>
      <w:r w:rsidR="0016684B">
        <w:rPr>
          <w:rFonts w:cstheme="minorHAnsi"/>
          <w:sz w:val="24"/>
          <w:szCs w:val="24"/>
        </w:rPr>
        <w:t>that received the</w:t>
      </w:r>
      <w:r w:rsidR="00BE1E0A">
        <w:rPr>
          <w:rFonts w:cstheme="minorHAnsi"/>
          <w:sz w:val="24"/>
          <w:szCs w:val="24"/>
        </w:rPr>
        <w:t xml:space="preserve"> guideline-</w:t>
      </w:r>
      <w:r w:rsidR="00AB6146">
        <w:rPr>
          <w:rFonts w:cstheme="minorHAnsi"/>
          <w:sz w:val="24"/>
          <w:szCs w:val="24"/>
        </w:rPr>
        <w:t>recommended regimen of 125 mg daily</w:t>
      </w:r>
      <w:r w:rsidR="0016684B">
        <w:rPr>
          <w:rFonts w:cstheme="minorHAnsi"/>
          <w:sz w:val="24"/>
          <w:szCs w:val="24"/>
        </w:rPr>
        <w:t xml:space="preserve">. </w:t>
      </w:r>
      <w:r w:rsidR="002B7C7B">
        <w:rPr>
          <w:rFonts w:cstheme="minorHAnsi"/>
          <w:sz w:val="24"/>
          <w:szCs w:val="24"/>
        </w:rPr>
        <w:t>There was no difference in the</w:t>
      </w:r>
      <w:r w:rsidR="00F85302">
        <w:rPr>
          <w:rFonts w:cstheme="minorHAnsi"/>
          <w:sz w:val="24"/>
          <w:szCs w:val="24"/>
        </w:rPr>
        <w:t xml:space="preserve"> </w:t>
      </w:r>
      <w:r w:rsidR="00B65938">
        <w:rPr>
          <w:rFonts w:cstheme="minorHAnsi"/>
          <w:sz w:val="24"/>
          <w:szCs w:val="24"/>
        </w:rPr>
        <w:t>incidence of</w:t>
      </w:r>
      <w:r w:rsidR="00F85302">
        <w:rPr>
          <w:rFonts w:cstheme="minorHAnsi"/>
          <w:sz w:val="24"/>
          <w:szCs w:val="24"/>
        </w:rPr>
        <w:t xml:space="preserve"> </w:t>
      </w:r>
      <w:r w:rsidR="00CB6F78">
        <w:rPr>
          <w:rFonts w:cstheme="minorHAnsi"/>
          <w:iCs/>
          <w:sz w:val="24"/>
          <w:szCs w:val="24"/>
        </w:rPr>
        <w:t>CDI</w:t>
      </w:r>
      <w:r w:rsidR="002B7C7B" w:rsidRPr="000620FC">
        <w:rPr>
          <w:rFonts w:cstheme="minorHAnsi"/>
          <w:sz w:val="24"/>
          <w:szCs w:val="24"/>
        </w:rPr>
        <w:t xml:space="preserve"> recurrence within 90 days of discontinuing systemic</w:t>
      </w:r>
      <w:r w:rsidR="00F85302">
        <w:rPr>
          <w:rFonts w:cstheme="minorHAnsi"/>
          <w:sz w:val="24"/>
          <w:szCs w:val="24"/>
        </w:rPr>
        <w:t xml:space="preserve"> antibiotics</w:t>
      </w:r>
      <w:r w:rsidR="002B7C7B">
        <w:rPr>
          <w:rFonts w:cstheme="minorHAnsi"/>
          <w:sz w:val="24"/>
          <w:szCs w:val="24"/>
        </w:rPr>
        <w:t xml:space="preserve"> between patients who received </w:t>
      </w:r>
      <w:r w:rsidR="00CB6F78">
        <w:rPr>
          <w:rFonts w:cstheme="minorHAnsi"/>
          <w:sz w:val="24"/>
          <w:szCs w:val="24"/>
        </w:rPr>
        <w:t xml:space="preserve">OVP </w:t>
      </w:r>
      <w:r w:rsidR="002B7C7B">
        <w:rPr>
          <w:rFonts w:cstheme="minorHAnsi"/>
          <w:sz w:val="24"/>
          <w:szCs w:val="24"/>
        </w:rPr>
        <w:t>and those who did not</w:t>
      </w:r>
      <w:r w:rsidR="006854B3">
        <w:rPr>
          <w:rFonts w:cstheme="minorHAnsi"/>
          <w:sz w:val="24"/>
          <w:szCs w:val="24"/>
        </w:rPr>
        <w:t xml:space="preserve"> [</w:t>
      </w:r>
      <w:r w:rsidR="00E5507E">
        <w:rPr>
          <w:rFonts w:cstheme="minorHAnsi"/>
          <w:sz w:val="24"/>
          <w:szCs w:val="24"/>
        </w:rPr>
        <w:t xml:space="preserve">7/50 </w:t>
      </w:r>
      <w:r w:rsidR="006854B3">
        <w:rPr>
          <w:rFonts w:cstheme="minorHAnsi"/>
          <w:sz w:val="24"/>
          <w:szCs w:val="24"/>
        </w:rPr>
        <w:t xml:space="preserve">(14%) </w:t>
      </w:r>
      <w:r w:rsidR="00E5507E">
        <w:rPr>
          <w:rFonts w:cstheme="minorHAnsi"/>
          <w:sz w:val="24"/>
          <w:szCs w:val="24"/>
        </w:rPr>
        <w:t xml:space="preserve">vs </w:t>
      </w:r>
      <w:r w:rsidR="00F24A73">
        <w:rPr>
          <w:rFonts w:cstheme="minorHAnsi"/>
          <w:sz w:val="24"/>
          <w:szCs w:val="24"/>
        </w:rPr>
        <w:t>5/50</w:t>
      </w:r>
      <w:r w:rsidR="006854B3">
        <w:rPr>
          <w:rFonts w:cstheme="minorHAnsi"/>
          <w:sz w:val="24"/>
          <w:szCs w:val="24"/>
        </w:rPr>
        <w:t xml:space="preserve"> (10%)</w:t>
      </w:r>
      <w:r w:rsidR="00CC1589">
        <w:rPr>
          <w:rFonts w:cstheme="minorHAnsi"/>
          <w:sz w:val="24"/>
          <w:szCs w:val="24"/>
        </w:rPr>
        <w:t xml:space="preserve">; </w:t>
      </w:r>
      <w:r w:rsidR="005839D3">
        <w:rPr>
          <w:rFonts w:cstheme="minorHAnsi"/>
          <w:sz w:val="24"/>
          <w:szCs w:val="24"/>
        </w:rPr>
        <w:t>P=0.760</w:t>
      </w:r>
      <w:r w:rsidR="006854B3">
        <w:rPr>
          <w:rFonts w:cstheme="minorHAnsi"/>
          <w:sz w:val="24"/>
          <w:szCs w:val="24"/>
        </w:rPr>
        <w:t>]</w:t>
      </w:r>
      <w:r w:rsidR="00024894">
        <w:rPr>
          <w:rFonts w:cstheme="minorHAnsi"/>
          <w:sz w:val="24"/>
          <w:szCs w:val="24"/>
        </w:rPr>
        <w:t>.</w:t>
      </w:r>
      <w:r w:rsidR="0009234E" w:rsidRPr="000620FC">
        <w:rPr>
          <w:rFonts w:cstheme="minorHAnsi"/>
          <w:sz w:val="24"/>
          <w:szCs w:val="24"/>
        </w:rPr>
        <w:t xml:space="preserve"> The</w:t>
      </w:r>
      <w:r w:rsidR="00024894">
        <w:rPr>
          <w:rFonts w:cstheme="minorHAnsi"/>
          <w:sz w:val="24"/>
          <w:szCs w:val="24"/>
        </w:rPr>
        <w:t>re</w:t>
      </w:r>
      <w:r w:rsidR="0009234E" w:rsidRPr="000620FC">
        <w:rPr>
          <w:rFonts w:cstheme="minorHAnsi"/>
          <w:sz w:val="24"/>
          <w:szCs w:val="24"/>
        </w:rPr>
        <w:t xml:space="preserve"> </w:t>
      </w:r>
      <w:r w:rsidR="00024894">
        <w:rPr>
          <w:rFonts w:cstheme="minorHAnsi"/>
          <w:sz w:val="24"/>
          <w:szCs w:val="24"/>
        </w:rPr>
        <w:t>w</w:t>
      </w:r>
      <w:r w:rsidR="00D944D7">
        <w:rPr>
          <w:rFonts w:cstheme="minorHAnsi"/>
          <w:sz w:val="24"/>
          <w:szCs w:val="24"/>
        </w:rPr>
        <w:t>as</w:t>
      </w:r>
      <w:r w:rsidR="00024894">
        <w:rPr>
          <w:rFonts w:cstheme="minorHAnsi"/>
          <w:sz w:val="24"/>
          <w:szCs w:val="24"/>
        </w:rPr>
        <w:t xml:space="preserve"> </w:t>
      </w:r>
      <w:r w:rsidR="00D944D7">
        <w:rPr>
          <w:rFonts w:cstheme="minorHAnsi"/>
          <w:sz w:val="24"/>
          <w:szCs w:val="24"/>
        </w:rPr>
        <w:t xml:space="preserve">also </w:t>
      </w:r>
      <w:r w:rsidR="00024894">
        <w:rPr>
          <w:rFonts w:cstheme="minorHAnsi"/>
          <w:sz w:val="24"/>
          <w:szCs w:val="24"/>
        </w:rPr>
        <w:t>no difference</w:t>
      </w:r>
      <w:r w:rsidR="00D944D7">
        <w:rPr>
          <w:rFonts w:cstheme="minorHAnsi"/>
          <w:sz w:val="24"/>
          <w:szCs w:val="24"/>
        </w:rPr>
        <w:t xml:space="preserve"> in the incidence of</w:t>
      </w:r>
      <w:r w:rsidR="00CB6F78">
        <w:rPr>
          <w:rFonts w:cstheme="minorHAnsi"/>
          <w:sz w:val="24"/>
          <w:szCs w:val="24"/>
        </w:rPr>
        <w:t xml:space="preserve"> </w:t>
      </w:r>
      <w:r w:rsidR="0009234E" w:rsidRPr="000620FC">
        <w:rPr>
          <w:rFonts w:cstheme="minorHAnsi"/>
          <w:sz w:val="24"/>
          <w:szCs w:val="24"/>
        </w:rPr>
        <w:t xml:space="preserve">hospitalization due to </w:t>
      </w:r>
      <w:r w:rsidR="00DC1704">
        <w:rPr>
          <w:rFonts w:cstheme="minorHAnsi"/>
          <w:iCs/>
          <w:sz w:val="24"/>
          <w:szCs w:val="24"/>
        </w:rPr>
        <w:t xml:space="preserve">CDI </w:t>
      </w:r>
      <w:r w:rsidR="00070A6C">
        <w:rPr>
          <w:rFonts w:cstheme="minorHAnsi"/>
          <w:sz w:val="24"/>
          <w:szCs w:val="24"/>
        </w:rPr>
        <w:t>[5/50 (10%) vs 3/50 (6%)</w:t>
      </w:r>
      <w:r w:rsidR="00C300B8">
        <w:rPr>
          <w:rFonts w:cstheme="minorHAnsi"/>
          <w:sz w:val="24"/>
          <w:szCs w:val="24"/>
        </w:rPr>
        <w:t>;</w:t>
      </w:r>
      <w:r w:rsidR="00070A6C">
        <w:rPr>
          <w:rFonts w:cstheme="minorHAnsi"/>
          <w:sz w:val="24"/>
          <w:szCs w:val="24"/>
        </w:rPr>
        <w:t xml:space="preserve"> P=</w:t>
      </w:r>
      <w:r w:rsidR="00070A6C">
        <w:rPr>
          <w:rFonts w:cstheme="minorHAnsi"/>
          <w:iCs/>
          <w:sz w:val="24"/>
          <w:szCs w:val="24"/>
        </w:rPr>
        <w:t>0.715]</w:t>
      </w:r>
      <w:r w:rsidR="00DC1704">
        <w:rPr>
          <w:rFonts w:cstheme="minorHAnsi"/>
          <w:iCs/>
          <w:sz w:val="24"/>
          <w:szCs w:val="24"/>
        </w:rPr>
        <w:t xml:space="preserve"> </w:t>
      </w:r>
      <w:r w:rsidR="00024894">
        <w:rPr>
          <w:rFonts w:cstheme="minorHAnsi"/>
          <w:sz w:val="24"/>
          <w:szCs w:val="24"/>
        </w:rPr>
        <w:t xml:space="preserve">or </w:t>
      </w:r>
      <w:r w:rsidR="0009234E" w:rsidRPr="000620FC">
        <w:rPr>
          <w:rFonts w:cstheme="minorHAnsi"/>
          <w:sz w:val="24"/>
          <w:szCs w:val="24"/>
        </w:rPr>
        <w:t>all-cause mortality</w:t>
      </w:r>
      <w:r w:rsidR="00DC1704">
        <w:rPr>
          <w:rFonts w:cstheme="minorHAnsi"/>
          <w:sz w:val="24"/>
          <w:szCs w:val="24"/>
        </w:rPr>
        <w:t xml:space="preserve"> </w:t>
      </w:r>
      <w:r w:rsidR="00070A6C">
        <w:rPr>
          <w:rFonts w:cstheme="minorHAnsi"/>
          <w:sz w:val="24"/>
          <w:szCs w:val="24"/>
        </w:rPr>
        <w:t xml:space="preserve">[5/50 </w:t>
      </w:r>
      <w:r w:rsidR="00C300B8">
        <w:rPr>
          <w:rFonts w:cstheme="minorHAnsi"/>
          <w:sz w:val="24"/>
          <w:szCs w:val="24"/>
        </w:rPr>
        <w:t>(10</w:t>
      </w:r>
      <w:r w:rsidR="00070A6C">
        <w:rPr>
          <w:rFonts w:cstheme="minorHAnsi"/>
          <w:sz w:val="24"/>
          <w:szCs w:val="24"/>
        </w:rPr>
        <w:t>%) vs 5/50 (10%)</w:t>
      </w:r>
      <w:r w:rsidR="00C300B8">
        <w:rPr>
          <w:rFonts w:cstheme="minorHAnsi"/>
          <w:sz w:val="24"/>
          <w:szCs w:val="24"/>
        </w:rPr>
        <w:t>;</w:t>
      </w:r>
      <w:r w:rsidR="00070A6C">
        <w:rPr>
          <w:rFonts w:cstheme="minorHAnsi"/>
          <w:sz w:val="24"/>
          <w:szCs w:val="24"/>
        </w:rPr>
        <w:t xml:space="preserve"> P=1.00]</w:t>
      </w:r>
      <w:r w:rsidR="00C300B8">
        <w:rPr>
          <w:rFonts w:cstheme="minorHAnsi"/>
          <w:sz w:val="24"/>
          <w:szCs w:val="24"/>
        </w:rPr>
        <w:t xml:space="preserve"> in the OVP cohort as compared to the no</w:t>
      </w:r>
      <w:r w:rsidR="00CC1589">
        <w:rPr>
          <w:rFonts w:cstheme="minorHAnsi"/>
          <w:sz w:val="24"/>
          <w:szCs w:val="24"/>
        </w:rPr>
        <w:t>n</w:t>
      </w:r>
      <w:r w:rsidR="00C300B8">
        <w:rPr>
          <w:rFonts w:cstheme="minorHAnsi"/>
          <w:sz w:val="24"/>
          <w:szCs w:val="24"/>
        </w:rPr>
        <w:t xml:space="preserve">-OVP cohort, respectively.  </w:t>
      </w:r>
    </w:p>
    <w:p w14:paraId="7BDE1250" w14:textId="36810C46" w:rsidR="003D480C" w:rsidRPr="007C49E3" w:rsidRDefault="00DB0FB5">
      <w:pPr>
        <w:rPr>
          <w:rFonts w:cstheme="minorHAnsi"/>
          <w:sz w:val="24"/>
          <w:szCs w:val="24"/>
        </w:rPr>
      </w:pPr>
      <w:r w:rsidRPr="00F85302">
        <w:rPr>
          <w:rFonts w:cstheme="minorHAnsi"/>
          <w:sz w:val="24"/>
          <w:szCs w:val="24"/>
        </w:rPr>
        <w:t>Conclusion</w:t>
      </w:r>
      <w:r w:rsidR="00A74802">
        <w:rPr>
          <w:rFonts w:cstheme="minorHAnsi"/>
          <w:sz w:val="24"/>
          <w:szCs w:val="24"/>
        </w:rPr>
        <w:t>s</w:t>
      </w:r>
    </w:p>
    <w:p w14:paraId="6E940538" w14:textId="78FECC84" w:rsidR="005839D3" w:rsidRDefault="00EB3BA2" w:rsidP="006A7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retrospective, </w:t>
      </w:r>
      <w:r w:rsidR="00F24A73">
        <w:rPr>
          <w:rFonts w:cstheme="minorHAnsi"/>
          <w:sz w:val="24"/>
          <w:szCs w:val="24"/>
        </w:rPr>
        <w:t>m</w:t>
      </w:r>
      <w:r w:rsidR="00717B10">
        <w:rPr>
          <w:rFonts w:cstheme="minorHAnsi"/>
          <w:sz w:val="24"/>
          <w:szCs w:val="24"/>
        </w:rPr>
        <w:t>ulticenter</w:t>
      </w:r>
      <w:r w:rsidR="00F24A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chart review </w:t>
      </w:r>
      <w:r w:rsidR="00E5507E">
        <w:rPr>
          <w:rFonts w:cstheme="minorHAnsi"/>
          <w:sz w:val="24"/>
          <w:szCs w:val="24"/>
        </w:rPr>
        <w:t>did not identify a difference in</w:t>
      </w:r>
      <w:r w:rsidR="005839D3">
        <w:rPr>
          <w:rFonts w:cstheme="minorHAnsi"/>
          <w:sz w:val="24"/>
          <w:szCs w:val="24"/>
        </w:rPr>
        <w:t xml:space="preserve"> </w:t>
      </w:r>
      <w:r w:rsidR="00F30C4E">
        <w:rPr>
          <w:rFonts w:cstheme="minorHAnsi"/>
          <w:iCs/>
          <w:sz w:val="24"/>
          <w:szCs w:val="24"/>
        </w:rPr>
        <w:t>CDI</w:t>
      </w:r>
      <w:r w:rsidR="005839D3">
        <w:rPr>
          <w:rFonts w:cstheme="minorHAnsi"/>
          <w:sz w:val="24"/>
          <w:szCs w:val="24"/>
        </w:rPr>
        <w:t xml:space="preserve"> recurrence </w:t>
      </w:r>
      <w:r>
        <w:rPr>
          <w:rFonts w:cstheme="minorHAnsi"/>
          <w:sz w:val="24"/>
          <w:szCs w:val="24"/>
        </w:rPr>
        <w:t xml:space="preserve">within 90 days of discontinuing systemic antibiotics </w:t>
      </w:r>
      <w:r w:rsidR="005839D3">
        <w:rPr>
          <w:rFonts w:cstheme="minorHAnsi"/>
          <w:sz w:val="24"/>
          <w:szCs w:val="24"/>
        </w:rPr>
        <w:t xml:space="preserve">in a cohort of high-risk patients </w:t>
      </w:r>
      <w:r>
        <w:rPr>
          <w:rFonts w:cstheme="minorHAnsi"/>
          <w:sz w:val="24"/>
          <w:szCs w:val="24"/>
        </w:rPr>
        <w:t xml:space="preserve">who received </w:t>
      </w:r>
      <w:r w:rsidR="00F30C4E">
        <w:rPr>
          <w:rFonts w:cstheme="minorHAnsi"/>
          <w:sz w:val="24"/>
          <w:szCs w:val="24"/>
        </w:rPr>
        <w:t>OVP</w:t>
      </w:r>
      <w:r>
        <w:rPr>
          <w:rFonts w:cstheme="minorHAnsi"/>
          <w:sz w:val="24"/>
          <w:szCs w:val="24"/>
        </w:rPr>
        <w:t xml:space="preserve"> as compared to those who did not. </w:t>
      </w:r>
      <w:r w:rsidR="00D110D7">
        <w:rPr>
          <w:rFonts w:cstheme="minorHAnsi"/>
          <w:sz w:val="24"/>
          <w:szCs w:val="24"/>
        </w:rPr>
        <w:t xml:space="preserve">The </w:t>
      </w:r>
      <w:r w:rsidR="00CD2D31">
        <w:rPr>
          <w:rFonts w:cstheme="minorHAnsi"/>
          <w:sz w:val="24"/>
          <w:szCs w:val="24"/>
        </w:rPr>
        <w:t>findings</w:t>
      </w:r>
      <w:r w:rsidR="00D110D7">
        <w:rPr>
          <w:rFonts w:cstheme="minorHAnsi"/>
          <w:sz w:val="24"/>
          <w:szCs w:val="24"/>
        </w:rPr>
        <w:t xml:space="preserve"> of this study are limited by the imbalance in the baseline characteristics between the two cohorts and </w:t>
      </w:r>
      <w:r w:rsidR="009B7830">
        <w:rPr>
          <w:rFonts w:cstheme="minorHAnsi"/>
          <w:sz w:val="24"/>
          <w:szCs w:val="24"/>
        </w:rPr>
        <w:t xml:space="preserve">higher than </w:t>
      </w:r>
      <w:r w:rsidR="006E38B6" w:rsidRPr="006E38B6">
        <w:rPr>
          <w:rFonts w:cstheme="minorHAnsi"/>
          <w:sz w:val="24"/>
          <w:szCs w:val="24"/>
        </w:rPr>
        <w:t>guideline-</w:t>
      </w:r>
      <w:r w:rsidR="009B7830">
        <w:rPr>
          <w:rFonts w:cstheme="minorHAnsi"/>
          <w:sz w:val="24"/>
          <w:szCs w:val="24"/>
        </w:rPr>
        <w:t xml:space="preserve">recommended </w:t>
      </w:r>
      <w:r w:rsidR="00CD2D31">
        <w:rPr>
          <w:rFonts w:cstheme="minorHAnsi"/>
          <w:sz w:val="24"/>
          <w:szCs w:val="24"/>
        </w:rPr>
        <w:t xml:space="preserve">daily </w:t>
      </w:r>
      <w:r w:rsidR="00D110D7">
        <w:rPr>
          <w:rFonts w:cstheme="minorHAnsi"/>
          <w:sz w:val="24"/>
          <w:szCs w:val="24"/>
        </w:rPr>
        <w:t>dos</w:t>
      </w:r>
      <w:r w:rsidR="009B7830">
        <w:rPr>
          <w:rFonts w:cstheme="minorHAnsi"/>
          <w:sz w:val="24"/>
          <w:szCs w:val="24"/>
        </w:rPr>
        <w:t>es</w:t>
      </w:r>
      <w:r w:rsidR="00D110D7">
        <w:rPr>
          <w:rFonts w:cstheme="minorHAnsi"/>
          <w:sz w:val="24"/>
          <w:szCs w:val="24"/>
        </w:rPr>
        <w:t xml:space="preserve"> used in the OVP group. </w:t>
      </w:r>
      <w:r w:rsidR="009F4F34">
        <w:rPr>
          <w:rFonts w:cstheme="minorHAnsi"/>
          <w:sz w:val="24"/>
          <w:szCs w:val="24"/>
        </w:rPr>
        <w:t>Larger, p</w:t>
      </w:r>
      <w:r w:rsidR="00D110D7">
        <w:rPr>
          <w:rFonts w:cstheme="minorHAnsi"/>
          <w:sz w:val="24"/>
          <w:szCs w:val="24"/>
        </w:rPr>
        <w:t>r</w:t>
      </w:r>
      <w:r w:rsidR="00F53A61">
        <w:rPr>
          <w:rFonts w:cstheme="minorHAnsi"/>
          <w:sz w:val="24"/>
          <w:szCs w:val="24"/>
        </w:rPr>
        <w:t xml:space="preserve">ospective, </w:t>
      </w:r>
      <w:r w:rsidR="00F24A73">
        <w:rPr>
          <w:rFonts w:cstheme="minorHAnsi"/>
          <w:sz w:val="24"/>
          <w:szCs w:val="24"/>
        </w:rPr>
        <w:t>randomized</w:t>
      </w:r>
      <w:r w:rsidR="00864C3D">
        <w:rPr>
          <w:rFonts w:cstheme="minorHAnsi"/>
          <w:sz w:val="24"/>
          <w:szCs w:val="24"/>
        </w:rPr>
        <w:t xml:space="preserve">, </w:t>
      </w:r>
      <w:r w:rsidR="00F24A73">
        <w:rPr>
          <w:rFonts w:cstheme="minorHAnsi"/>
          <w:sz w:val="24"/>
          <w:szCs w:val="24"/>
        </w:rPr>
        <w:t>control</w:t>
      </w:r>
      <w:r w:rsidR="006A75F6">
        <w:rPr>
          <w:rFonts w:cstheme="minorHAnsi"/>
          <w:sz w:val="24"/>
          <w:szCs w:val="24"/>
        </w:rPr>
        <w:t>led</w:t>
      </w:r>
      <w:r w:rsidR="00F24A73">
        <w:rPr>
          <w:rFonts w:cstheme="minorHAnsi"/>
          <w:sz w:val="24"/>
          <w:szCs w:val="24"/>
        </w:rPr>
        <w:t xml:space="preserve"> trials </w:t>
      </w:r>
      <w:r w:rsidR="00D110D7">
        <w:rPr>
          <w:rFonts w:cstheme="minorHAnsi"/>
          <w:sz w:val="24"/>
          <w:szCs w:val="24"/>
        </w:rPr>
        <w:t xml:space="preserve">that </w:t>
      </w:r>
      <w:r w:rsidR="00864C3D">
        <w:rPr>
          <w:rFonts w:cstheme="minorHAnsi"/>
          <w:sz w:val="24"/>
          <w:szCs w:val="24"/>
        </w:rPr>
        <w:t>utilize</w:t>
      </w:r>
      <w:r w:rsidR="006268E9">
        <w:rPr>
          <w:rFonts w:cstheme="minorHAnsi"/>
          <w:sz w:val="24"/>
          <w:szCs w:val="24"/>
        </w:rPr>
        <w:t xml:space="preserve"> a</w:t>
      </w:r>
      <w:r w:rsidR="00864C3D">
        <w:rPr>
          <w:rFonts w:cstheme="minorHAnsi"/>
          <w:sz w:val="24"/>
          <w:szCs w:val="24"/>
        </w:rPr>
        <w:t xml:space="preserve"> low-dose </w:t>
      </w:r>
      <w:r w:rsidR="006A75F6">
        <w:rPr>
          <w:rFonts w:cstheme="minorHAnsi"/>
          <w:sz w:val="24"/>
          <w:szCs w:val="24"/>
        </w:rPr>
        <w:t>oral vancomycin</w:t>
      </w:r>
      <w:r w:rsidR="006268E9">
        <w:rPr>
          <w:rFonts w:cstheme="minorHAnsi"/>
          <w:sz w:val="24"/>
          <w:szCs w:val="24"/>
        </w:rPr>
        <w:t xml:space="preserve"> regimen</w:t>
      </w:r>
      <w:r w:rsidR="00864C3D">
        <w:rPr>
          <w:rFonts w:cstheme="minorHAnsi"/>
          <w:sz w:val="24"/>
          <w:szCs w:val="24"/>
        </w:rPr>
        <w:t xml:space="preserve"> are necessary to</w:t>
      </w:r>
      <w:r w:rsidR="006A75F6">
        <w:rPr>
          <w:rFonts w:cstheme="minorHAnsi"/>
          <w:sz w:val="24"/>
          <w:szCs w:val="24"/>
        </w:rPr>
        <w:t xml:space="preserve"> </w:t>
      </w:r>
      <w:r w:rsidR="00864C3D">
        <w:rPr>
          <w:rFonts w:cstheme="minorHAnsi"/>
          <w:sz w:val="24"/>
          <w:szCs w:val="24"/>
        </w:rPr>
        <w:t xml:space="preserve">determine if OVP </w:t>
      </w:r>
      <w:r w:rsidR="009F4F34">
        <w:rPr>
          <w:rFonts w:cstheme="minorHAnsi"/>
          <w:sz w:val="24"/>
          <w:szCs w:val="24"/>
        </w:rPr>
        <w:t>successfully</w:t>
      </w:r>
      <w:r w:rsidR="00864C3D">
        <w:rPr>
          <w:rFonts w:cstheme="minorHAnsi"/>
          <w:sz w:val="24"/>
          <w:szCs w:val="24"/>
        </w:rPr>
        <w:t xml:space="preserve"> prevents</w:t>
      </w:r>
      <w:r w:rsidR="006A75F6">
        <w:rPr>
          <w:rFonts w:cstheme="minorHAnsi"/>
          <w:sz w:val="24"/>
          <w:szCs w:val="24"/>
        </w:rPr>
        <w:t xml:space="preserve"> recurrence. </w:t>
      </w:r>
    </w:p>
    <w:p w14:paraId="3217B0EC" w14:textId="37690720" w:rsidR="007C49E3" w:rsidRPr="007C49E3" w:rsidRDefault="007C49E3" w:rsidP="00EF6CBC">
      <w:pPr>
        <w:pStyle w:val="ListParagraph"/>
        <w:rPr>
          <w:rFonts w:cstheme="minorHAnsi"/>
          <w:sz w:val="24"/>
          <w:szCs w:val="24"/>
        </w:rPr>
      </w:pPr>
    </w:p>
    <w:sectPr w:rsidR="007C49E3" w:rsidRPr="007C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875"/>
    <w:multiLevelType w:val="hybridMultilevel"/>
    <w:tmpl w:val="AB46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5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B5"/>
    <w:rsid w:val="00024894"/>
    <w:rsid w:val="00040E68"/>
    <w:rsid w:val="000620FC"/>
    <w:rsid w:val="00070A6C"/>
    <w:rsid w:val="0007132D"/>
    <w:rsid w:val="0007616A"/>
    <w:rsid w:val="0008210A"/>
    <w:rsid w:val="00085597"/>
    <w:rsid w:val="0009234E"/>
    <w:rsid w:val="00092B7B"/>
    <w:rsid w:val="000A678E"/>
    <w:rsid w:val="000C333C"/>
    <w:rsid w:val="00124E18"/>
    <w:rsid w:val="0016684B"/>
    <w:rsid w:val="001D2774"/>
    <w:rsid w:val="001D35F3"/>
    <w:rsid w:val="002565AD"/>
    <w:rsid w:val="002662B2"/>
    <w:rsid w:val="0027167B"/>
    <w:rsid w:val="002B3741"/>
    <w:rsid w:val="002B7C7B"/>
    <w:rsid w:val="002E3F6F"/>
    <w:rsid w:val="002E72A6"/>
    <w:rsid w:val="00335174"/>
    <w:rsid w:val="003604E6"/>
    <w:rsid w:val="00393D55"/>
    <w:rsid w:val="003D480C"/>
    <w:rsid w:val="004010D7"/>
    <w:rsid w:val="00411B5A"/>
    <w:rsid w:val="0044692F"/>
    <w:rsid w:val="0044798D"/>
    <w:rsid w:val="004743E7"/>
    <w:rsid w:val="00497D38"/>
    <w:rsid w:val="004E0E1D"/>
    <w:rsid w:val="00504F05"/>
    <w:rsid w:val="005335EC"/>
    <w:rsid w:val="005839D3"/>
    <w:rsid w:val="005918BD"/>
    <w:rsid w:val="005F4742"/>
    <w:rsid w:val="00622814"/>
    <w:rsid w:val="006268E9"/>
    <w:rsid w:val="00666E6C"/>
    <w:rsid w:val="006854B3"/>
    <w:rsid w:val="006A75F6"/>
    <w:rsid w:val="006E38B6"/>
    <w:rsid w:val="006E5B1A"/>
    <w:rsid w:val="006F4A21"/>
    <w:rsid w:val="00717B10"/>
    <w:rsid w:val="00783B9B"/>
    <w:rsid w:val="007B46B2"/>
    <w:rsid w:val="007C49E3"/>
    <w:rsid w:val="007D7BAB"/>
    <w:rsid w:val="008573EB"/>
    <w:rsid w:val="008610C6"/>
    <w:rsid w:val="00864C3D"/>
    <w:rsid w:val="00885A49"/>
    <w:rsid w:val="008A7D19"/>
    <w:rsid w:val="00904B97"/>
    <w:rsid w:val="00907234"/>
    <w:rsid w:val="00942E4D"/>
    <w:rsid w:val="009737CA"/>
    <w:rsid w:val="00980B8F"/>
    <w:rsid w:val="00994B1E"/>
    <w:rsid w:val="009A5202"/>
    <w:rsid w:val="009B7830"/>
    <w:rsid w:val="009F1669"/>
    <w:rsid w:val="009F4F34"/>
    <w:rsid w:val="00A47A45"/>
    <w:rsid w:val="00A563A4"/>
    <w:rsid w:val="00A65041"/>
    <w:rsid w:val="00A74802"/>
    <w:rsid w:val="00A753BF"/>
    <w:rsid w:val="00A943FB"/>
    <w:rsid w:val="00AB6146"/>
    <w:rsid w:val="00AC16D4"/>
    <w:rsid w:val="00AE39D5"/>
    <w:rsid w:val="00B2367A"/>
    <w:rsid w:val="00B403AF"/>
    <w:rsid w:val="00B5575F"/>
    <w:rsid w:val="00B65938"/>
    <w:rsid w:val="00B76798"/>
    <w:rsid w:val="00BD6EEA"/>
    <w:rsid w:val="00BE1E0A"/>
    <w:rsid w:val="00C300B8"/>
    <w:rsid w:val="00C412F2"/>
    <w:rsid w:val="00C67EEE"/>
    <w:rsid w:val="00C86203"/>
    <w:rsid w:val="00CB6F78"/>
    <w:rsid w:val="00CC1589"/>
    <w:rsid w:val="00CD2D31"/>
    <w:rsid w:val="00CE446D"/>
    <w:rsid w:val="00D110D7"/>
    <w:rsid w:val="00D225EC"/>
    <w:rsid w:val="00D944D7"/>
    <w:rsid w:val="00DA4AB1"/>
    <w:rsid w:val="00DB0FB5"/>
    <w:rsid w:val="00DC1704"/>
    <w:rsid w:val="00DE3129"/>
    <w:rsid w:val="00DF37C9"/>
    <w:rsid w:val="00E211B1"/>
    <w:rsid w:val="00E3065F"/>
    <w:rsid w:val="00E5507E"/>
    <w:rsid w:val="00EB3BA2"/>
    <w:rsid w:val="00EF6CBC"/>
    <w:rsid w:val="00F20B84"/>
    <w:rsid w:val="00F218A4"/>
    <w:rsid w:val="00F24A73"/>
    <w:rsid w:val="00F30C4E"/>
    <w:rsid w:val="00F53A61"/>
    <w:rsid w:val="00F85302"/>
    <w:rsid w:val="00F90025"/>
    <w:rsid w:val="00FD2DBB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53EA"/>
  <w15:docId w15:val="{722131B1-A69F-463C-9C5F-59B3123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0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0CBF-F351-43AC-A367-EE292C8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Shutov</dc:creator>
  <cp:lastModifiedBy>Olga Shutov</cp:lastModifiedBy>
  <cp:revision>2</cp:revision>
  <dcterms:created xsi:type="dcterms:W3CDTF">2023-04-19T22:36:00Z</dcterms:created>
  <dcterms:modified xsi:type="dcterms:W3CDTF">2023-04-19T22:36:00Z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78fdc3ec4a776ea1061882a695ec5a0fa833c32a11c216ce147a18b2f3959e43</vt:lpwstr>
  </property>
</Properties>
</file>