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06" w:rsidRPr="00DF5006" w:rsidRDefault="00DF5006" w:rsidP="00DF5006">
      <w:pPr>
        <w:spacing w:after="0" w:line="240" w:lineRule="auto"/>
        <w:rPr>
          <w:rFonts w:cstheme="minorHAnsi"/>
          <w:i/>
          <w:color w:val="000000" w:themeColor="text1"/>
          <w:sz w:val="24"/>
          <w:szCs w:val="24"/>
        </w:rPr>
      </w:pPr>
      <w:r w:rsidRPr="00DF5006">
        <w:rPr>
          <w:rFonts w:cstheme="minorHAnsi"/>
          <w:i/>
          <w:color w:val="000000" w:themeColor="text1"/>
          <w:sz w:val="24"/>
          <w:szCs w:val="24"/>
        </w:rPr>
        <w:t>The Great Eight winning abstracts for 2019 were as follows:</w:t>
      </w:r>
    </w:p>
    <w:p w:rsidR="007E4472" w:rsidRPr="00DF5006" w:rsidRDefault="007E4472" w:rsidP="00DF5006">
      <w:pPr>
        <w:pStyle w:val="ListParagraph"/>
        <w:numPr>
          <w:ilvl w:val="0"/>
          <w:numId w:val="5"/>
        </w:numPr>
        <w:spacing w:after="120" w:line="240" w:lineRule="auto"/>
        <w:rPr>
          <w:rFonts w:cstheme="minorHAnsi"/>
          <w:color w:val="000000" w:themeColor="text1"/>
          <w:sz w:val="24"/>
          <w:szCs w:val="24"/>
        </w:rPr>
      </w:pPr>
      <w:r w:rsidRPr="00DF5006">
        <w:rPr>
          <w:rFonts w:cstheme="minorHAnsi"/>
          <w:b/>
          <w:color w:val="000000" w:themeColor="text1"/>
          <w:sz w:val="24"/>
          <w:szCs w:val="24"/>
        </w:rPr>
        <w:t xml:space="preserve">Evaluation of </w:t>
      </w:r>
      <w:proofErr w:type="spellStart"/>
      <w:r w:rsidRPr="00DF5006">
        <w:rPr>
          <w:rFonts w:cstheme="minorHAnsi"/>
          <w:b/>
          <w:color w:val="000000" w:themeColor="text1"/>
          <w:sz w:val="24"/>
          <w:szCs w:val="24"/>
        </w:rPr>
        <w:t>Procalcitonin</w:t>
      </w:r>
      <w:proofErr w:type="spellEnd"/>
      <w:r w:rsidRPr="00DF5006">
        <w:rPr>
          <w:rFonts w:cstheme="minorHAnsi"/>
          <w:b/>
          <w:color w:val="000000" w:themeColor="text1"/>
          <w:sz w:val="24"/>
          <w:szCs w:val="24"/>
        </w:rPr>
        <w:t xml:space="preserve"> (PCT) in the Management of Influenza-Positive Patients Admitted from the Emergency Department (ED</w:t>
      </w:r>
      <w:r w:rsidR="00DF5006" w:rsidRPr="00DF5006">
        <w:rPr>
          <w:rFonts w:cstheme="minorHAnsi"/>
          <w:b/>
          <w:color w:val="000000" w:themeColor="text1"/>
          <w:sz w:val="24"/>
          <w:szCs w:val="24"/>
        </w:rPr>
        <w:t>)</w:t>
      </w:r>
      <w:r w:rsidR="00DF5006" w:rsidRPr="00DF5006">
        <w:rPr>
          <w:rFonts w:cstheme="minorHAnsi"/>
          <w:color w:val="000000" w:themeColor="text1"/>
          <w:sz w:val="24"/>
          <w:szCs w:val="24"/>
        </w:rPr>
        <w:t xml:space="preserve"> presented by</w:t>
      </w:r>
      <w:r w:rsidR="00DF5006">
        <w:rPr>
          <w:rFonts w:cstheme="minorHAnsi"/>
          <w:b/>
          <w:color w:val="000000" w:themeColor="text1"/>
          <w:sz w:val="24"/>
          <w:szCs w:val="24"/>
        </w:rPr>
        <w:t xml:space="preserve"> </w:t>
      </w:r>
      <w:r w:rsidRPr="00DF5006">
        <w:rPr>
          <w:rFonts w:cstheme="minorHAnsi"/>
          <w:color w:val="000000" w:themeColor="text1"/>
          <w:sz w:val="24"/>
          <w:szCs w:val="24"/>
        </w:rPr>
        <w:t>Robyn A. Riggott</w:t>
      </w:r>
      <w:r w:rsidRPr="00DF5006">
        <w:rPr>
          <w:rFonts w:cstheme="minorHAnsi"/>
          <w:color w:val="000000" w:themeColor="text1"/>
          <w:sz w:val="24"/>
          <w:szCs w:val="24"/>
        </w:rPr>
        <w:t>, Hartford Hospital</w:t>
      </w:r>
    </w:p>
    <w:p w:rsidR="007E4472" w:rsidRPr="00DF5006" w:rsidRDefault="007E4472" w:rsidP="00DF5006">
      <w:pPr>
        <w:pStyle w:val="ListParagraph"/>
        <w:numPr>
          <w:ilvl w:val="0"/>
          <w:numId w:val="5"/>
        </w:numPr>
        <w:spacing w:after="120" w:line="240" w:lineRule="auto"/>
        <w:rPr>
          <w:rFonts w:cstheme="minorHAnsi"/>
          <w:color w:val="000000" w:themeColor="text1"/>
          <w:sz w:val="24"/>
          <w:szCs w:val="24"/>
        </w:rPr>
      </w:pPr>
      <w:r w:rsidRPr="00DF5006">
        <w:rPr>
          <w:rFonts w:cstheme="minorHAnsi"/>
          <w:b/>
          <w:color w:val="000000" w:themeColor="text1"/>
          <w:sz w:val="24"/>
          <w:szCs w:val="24"/>
        </w:rPr>
        <w:t xml:space="preserve">Evaluating the Impact of Antibiotic Prophylaxis on the Microbiology and Incidence of </w:t>
      </w:r>
      <w:proofErr w:type="spellStart"/>
      <w:r w:rsidRPr="00DF5006">
        <w:rPr>
          <w:rFonts w:cstheme="minorHAnsi"/>
          <w:b/>
          <w:color w:val="000000" w:themeColor="text1"/>
          <w:sz w:val="24"/>
          <w:szCs w:val="24"/>
        </w:rPr>
        <w:t>Ventriculitis</w:t>
      </w:r>
      <w:proofErr w:type="spellEnd"/>
      <w:r w:rsidRPr="00DF5006">
        <w:rPr>
          <w:rFonts w:cstheme="minorHAnsi"/>
          <w:b/>
          <w:color w:val="000000" w:themeColor="text1"/>
          <w:sz w:val="24"/>
          <w:szCs w:val="24"/>
        </w:rPr>
        <w:t xml:space="preserve"> in Patients with External Ventricular Drains </w:t>
      </w:r>
      <w:r w:rsidRPr="00DF5006">
        <w:rPr>
          <w:rFonts w:cstheme="minorHAnsi"/>
          <w:b/>
          <w:color w:val="000000" w:themeColor="text1"/>
          <w:sz w:val="24"/>
          <w:szCs w:val="24"/>
        </w:rPr>
        <w:t xml:space="preserve"> </w:t>
      </w:r>
      <w:r w:rsidR="00DF5006" w:rsidRPr="00DF5006">
        <w:rPr>
          <w:rFonts w:cstheme="minorHAnsi"/>
          <w:color w:val="000000" w:themeColor="text1"/>
          <w:sz w:val="24"/>
          <w:szCs w:val="24"/>
        </w:rPr>
        <w:t>presented by</w:t>
      </w:r>
      <w:r w:rsidR="00DF5006" w:rsidRPr="00DF5006">
        <w:rPr>
          <w:rFonts w:cstheme="minorHAnsi"/>
          <w:color w:val="000000" w:themeColor="text1"/>
          <w:sz w:val="24"/>
          <w:szCs w:val="24"/>
        </w:rPr>
        <w:t xml:space="preserve"> </w:t>
      </w:r>
      <w:r w:rsidRPr="00DF5006">
        <w:rPr>
          <w:rFonts w:cstheme="minorHAnsi"/>
          <w:color w:val="000000" w:themeColor="text1"/>
          <w:sz w:val="24"/>
          <w:szCs w:val="24"/>
        </w:rPr>
        <w:t xml:space="preserve">Jack McCormick, </w:t>
      </w:r>
      <w:proofErr w:type="spellStart"/>
      <w:r w:rsidRPr="00DF5006">
        <w:rPr>
          <w:rFonts w:cstheme="minorHAnsi"/>
          <w:color w:val="000000" w:themeColor="text1"/>
          <w:sz w:val="24"/>
          <w:szCs w:val="24"/>
        </w:rPr>
        <w:t>PharmD</w:t>
      </w:r>
      <w:proofErr w:type="spellEnd"/>
      <w:r w:rsidRPr="00DF5006">
        <w:rPr>
          <w:rFonts w:cstheme="minorHAnsi"/>
          <w:color w:val="000000" w:themeColor="text1"/>
          <w:sz w:val="24"/>
          <w:szCs w:val="24"/>
        </w:rPr>
        <w:t>, Yale</w:t>
      </w:r>
      <w:r w:rsidR="00DF5006" w:rsidRPr="00DF5006">
        <w:rPr>
          <w:rFonts w:cstheme="minorHAnsi"/>
          <w:color w:val="000000" w:themeColor="text1"/>
          <w:sz w:val="24"/>
          <w:szCs w:val="24"/>
        </w:rPr>
        <w:t xml:space="preserve"> N</w:t>
      </w:r>
      <w:r w:rsidRPr="00DF5006">
        <w:rPr>
          <w:rFonts w:cstheme="minorHAnsi"/>
          <w:color w:val="000000" w:themeColor="text1"/>
          <w:sz w:val="24"/>
          <w:szCs w:val="24"/>
        </w:rPr>
        <w:t>ew Haven Hospital</w:t>
      </w:r>
    </w:p>
    <w:p w:rsidR="007E4472" w:rsidRPr="00DF5006" w:rsidRDefault="00DF5006" w:rsidP="00DF5006">
      <w:pPr>
        <w:pStyle w:val="ListParagraph"/>
        <w:numPr>
          <w:ilvl w:val="0"/>
          <w:numId w:val="5"/>
        </w:numPr>
        <w:spacing w:after="0" w:line="240" w:lineRule="auto"/>
        <w:rPr>
          <w:rFonts w:cstheme="minorHAnsi"/>
          <w:color w:val="000000" w:themeColor="text1"/>
          <w:sz w:val="24"/>
          <w:szCs w:val="24"/>
        </w:rPr>
      </w:pPr>
      <w:r w:rsidRPr="00DF5006">
        <w:rPr>
          <w:rFonts w:cstheme="minorHAnsi"/>
          <w:b/>
          <w:sz w:val="24"/>
          <w:szCs w:val="24"/>
        </w:rPr>
        <w:t xml:space="preserve">Clinical Outcomes of </w:t>
      </w:r>
      <w:proofErr w:type="spellStart"/>
      <w:r w:rsidRPr="00DF5006">
        <w:rPr>
          <w:rFonts w:cstheme="minorHAnsi"/>
          <w:b/>
          <w:sz w:val="24"/>
          <w:szCs w:val="24"/>
        </w:rPr>
        <w:t>Oseltamivir</w:t>
      </w:r>
      <w:proofErr w:type="spellEnd"/>
      <w:r w:rsidRPr="00DF5006">
        <w:rPr>
          <w:rFonts w:cstheme="minorHAnsi"/>
          <w:b/>
          <w:sz w:val="24"/>
          <w:szCs w:val="24"/>
        </w:rPr>
        <w:t xml:space="preserve"> versus </w:t>
      </w:r>
      <w:proofErr w:type="spellStart"/>
      <w:r w:rsidRPr="00DF5006">
        <w:rPr>
          <w:rFonts w:cstheme="minorHAnsi"/>
          <w:b/>
          <w:sz w:val="24"/>
          <w:szCs w:val="24"/>
        </w:rPr>
        <w:t>Baloxavir</w:t>
      </w:r>
      <w:proofErr w:type="spellEnd"/>
      <w:r w:rsidRPr="00DF5006">
        <w:rPr>
          <w:rFonts w:cstheme="minorHAnsi"/>
          <w:b/>
          <w:sz w:val="24"/>
          <w:szCs w:val="24"/>
        </w:rPr>
        <w:t xml:space="preserve"> in Patients Hospitalized with Influenza A</w:t>
      </w:r>
      <w:r w:rsidRPr="00DF5006">
        <w:rPr>
          <w:rFonts w:cstheme="minorHAnsi"/>
          <w:b/>
          <w:sz w:val="24"/>
          <w:szCs w:val="24"/>
        </w:rPr>
        <w:t xml:space="preserve"> </w:t>
      </w:r>
      <w:r w:rsidRPr="00DF5006">
        <w:rPr>
          <w:rFonts w:cstheme="minorHAnsi"/>
          <w:color w:val="000000" w:themeColor="text1"/>
          <w:sz w:val="24"/>
          <w:szCs w:val="24"/>
        </w:rPr>
        <w:t>presented by</w:t>
      </w:r>
      <w:r w:rsidRPr="00DF5006">
        <w:rPr>
          <w:rFonts w:cstheme="minorHAnsi"/>
          <w:sz w:val="24"/>
          <w:szCs w:val="24"/>
        </w:rPr>
        <w:t xml:space="preserve"> </w:t>
      </w:r>
      <w:proofErr w:type="spellStart"/>
      <w:r w:rsidRPr="00DF5006">
        <w:rPr>
          <w:rFonts w:cstheme="minorHAnsi"/>
          <w:sz w:val="24"/>
          <w:szCs w:val="24"/>
        </w:rPr>
        <w:t>Sunish</w:t>
      </w:r>
      <w:proofErr w:type="spellEnd"/>
      <w:r w:rsidRPr="00DF5006">
        <w:rPr>
          <w:rFonts w:cstheme="minorHAnsi"/>
          <w:sz w:val="24"/>
          <w:szCs w:val="24"/>
        </w:rPr>
        <w:t xml:space="preserve"> Shah, </w:t>
      </w:r>
      <w:proofErr w:type="spellStart"/>
      <w:r w:rsidRPr="00DF5006">
        <w:rPr>
          <w:rFonts w:cstheme="minorHAnsi"/>
          <w:sz w:val="24"/>
          <w:szCs w:val="24"/>
        </w:rPr>
        <w:t>PharmD</w:t>
      </w:r>
      <w:proofErr w:type="spellEnd"/>
      <w:r w:rsidRPr="00DF5006">
        <w:rPr>
          <w:rFonts w:cstheme="minorHAnsi"/>
          <w:sz w:val="24"/>
          <w:szCs w:val="24"/>
        </w:rPr>
        <w:t xml:space="preserve"> Yale New Haven Hospital</w:t>
      </w:r>
    </w:p>
    <w:p w:rsidR="00DF5006" w:rsidRPr="00DF5006" w:rsidRDefault="00DF5006" w:rsidP="007E4472">
      <w:pPr>
        <w:spacing w:after="120" w:line="240" w:lineRule="auto"/>
        <w:rPr>
          <w:rFonts w:cstheme="minorHAnsi"/>
          <w:b/>
          <w:color w:val="000000" w:themeColor="text1"/>
          <w:sz w:val="24"/>
          <w:szCs w:val="24"/>
        </w:rPr>
      </w:pPr>
    </w:p>
    <w:p w:rsidR="00342A3C" w:rsidRPr="007E4472" w:rsidRDefault="00DD140D" w:rsidP="007E4472">
      <w:pPr>
        <w:spacing w:after="120" w:line="240" w:lineRule="auto"/>
        <w:rPr>
          <w:rFonts w:cstheme="minorHAnsi"/>
          <w:b/>
          <w:color w:val="000000" w:themeColor="text1"/>
          <w:sz w:val="24"/>
          <w:szCs w:val="24"/>
        </w:rPr>
      </w:pPr>
      <w:r w:rsidRPr="00DF5006">
        <w:rPr>
          <w:rFonts w:cstheme="minorHAnsi"/>
          <w:b/>
          <w:color w:val="000000" w:themeColor="text1"/>
          <w:sz w:val="24"/>
          <w:szCs w:val="24"/>
        </w:rPr>
        <w:t xml:space="preserve">Evaluation of </w:t>
      </w:r>
      <w:proofErr w:type="spellStart"/>
      <w:r w:rsidRPr="00DF5006">
        <w:rPr>
          <w:rFonts w:cstheme="minorHAnsi"/>
          <w:b/>
          <w:color w:val="000000" w:themeColor="text1"/>
          <w:sz w:val="24"/>
          <w:szCs w:val="24"/>
        </w:rPr>
        <w:t>Procalcitonin</w:t>
      </w:r>
      <w:proofErr w:type="spellEnd"/>
      <w:r w:rsidRPr="00DF5006">
        <w:rPr>
          <w:rFonts w:cstheme="minorHAnsi"/>
          <w:b/>
          <w:color w:val="000000" w:themeColor="text1"/>
          <w:sz w:val="24"/>
          <w:szCs w:val="24"/>
        </w:rPr>
        <w:t xml:space="preserve"> </w:t>
      </w:r>
      <w:r w:rsidR="00760F29" w:rsidRPr="00DF5006">
        <w:rPr>
          <w:rFonts w:cstheme="minorHAnsi"/>
          <w:b/>
          <w:color w:val="000000" w:themeColor="text1"/>
          <w:sz w:val="24"/>
          <w:szCs w:val="24"/>
        </w:rPr>
        <w:t xml:space="preserve">(PCT) </w:t>
      </w:r>
      <w:r w:rsidRPr="00DF5006">
        <w:rPr>
          <w:rFonts w:cstheme="minorHAnsi"/>
          <w:b/>
          <w:color w:val="000000" w:themeColor="text1"/>
          <w:sz w:val="24"/>
          <w:szCs w:val="24"/>
        </w:rPr>
        <w:t xml:space="preserve">in the Management of Influenza-Positive Patients </w:t>
      </w:r>
      <w:r w:rsidR="00FF0D0C" w:rsidRPr="00DF5006">
        <w:rPr>
          <w:rFonts w:cstheme="minorHAnsi"/>
          <w:b/>
          <w:color w:val="000000" w:themeColor="text1"/>
          <w:sz w:val="24"/>
          <w:szCs w:val="24"/>
        </w:rPr>
        <w:t>A</w:t>
      </w:r>
      <w:r w:rsidRPr="00DF5006">
        <w:rPr>
          <w:rFonts w:cstheme="minorHAnsi"/>
          <w:b/>
          <w:color w:val="000000" w:themeColor="text1"/>
          <w:sz w:val="24"/>
          <w:szCs w:val="24"/>
        </w:rPr>
        <w:t>dmitted</w:t>
      </w:r>
      <w:r w:rsidRPr="007E4472">
        <w:rPr>
          <w:rFonts w:cstheme="minorHAnsi"/>
          <w:b/>
          <w:color w:val="000000" w:themeColor="text1"/>
          <w:sz w:val="24"/>
          <w:szCs w:val="24"/>
        </w:rPr>
        <w:t xml:space="preserve"> from the Emergency Department</w:t>
      </w:r>
      <w:r w:rsidR="00F426EA" w:rsidRPr="007E4472">
        <w:rPr>
          <w:rFonts w:cstheme="minorHAnsi"/>
          <w:b/>
          <w:color w:val="000000" w:themeColor="text1"/>
          <w:sz w:val="24"/>
          <w:szCs w:val="24"/>
        </w:rPr>
        <w:t xml:space="preserve"> (ED)</w:t>
      </w:r>
    </w:p>
    <w:p w:rsidR="00DD140D" w:rsidRPr="007E4472" w:rsidRDefault="007E4472" w:rsidP="007E4472">
      <w:pPr>
        <w:spacing w:after="0" w:line="240" w:lineRule="auto"/>
        <w:rPr>
          <w:rFonts w:cstheme="minorHAnsi"/>
          <w:color w:val="000000" w:themeColor="text1"/>
          <w:sz w:val="24"/>
          <w:szCs w:val="24"/>
        </w:rPr>
      </w:pPr>
      <w:r w:rsidRPr="00DF5006">
        <w:rPr>
          <w:rFonts w:cstheme="minorHAnsi"/>
          <w:b/>
          <w:caps/>
          <w:color w:val="000000" w:themeColor="text1"/>
          <w:sz w:val="24"/>
          <w:szCs w:val="24"/>
        </w:rPr>
        <w:t>Authors</w:t>
      </w:r>
      <w:r>
        <w:rPr>
          <w:rFonts w:cstheme="minorHAnsi"/>
          <w:b/>
          <w:color w:val="000000" w:themeColor="text1"/>
          <w:sz w:val="24"/>
          <w:szCs w:val="24"/>
        </w:rPr>
        <w:t xml:space="preserve">: </w:t>
      </w:r>
      <w:r w:rsidRPr="007E4472">
        <w:rPr>
          <w:rFonts w:cstheme="minorHAnsi"/>
          <w:color w:val="000000" w:themeColor="text1"/>
          <w:sz w:val="24"/>
          <w:szCs w:val="24"/>
        </w:rPr>
        <w:t xml:space="preserve">Presenter </w:t>
      </w:r>
      <w:r>
        <w:rPr>
          <w:rFonts w:cstheme="minorHAnsi"/>
          <w:b/>
          <w:color w:val="000000" w:themeColor="text1"/>
          <w:sz w:val="24"/>
          <w:szCs w:val="24"/>
        </w:rPr>
        <w:t xml:space="preserve">- </w:t>
      </w:r>
      <w:r w:rsidR="00DD140D" w:rsidRPr="007E4472">
        <w:rPr>
          <w:rFonts w:cstheme="minorHAnsi"/>
          <w:color w:val="000000" w:themeColor="text1"/>
          <w:sz w:val="24"/>
          <w:szCs w:val="24"/>
        </w:rPr>
        <w:t xml:space="preserve">Robyn </w:t>
      </w:r>
      <w:r w:rsidR="00353683" w:rsidRPr="007E4472">
        <w:rPr>
          <w:rFonts w:cstheme="minorHAnsi"/>
          <w:color w:val="000000" w:themeColor="text1"/>
          <w:sz w:val="24"/>
          <w:szCs w:val="24"/>
        </w:rPr>
        <w:t xml:space="preserve">A. </w:t>
      </w:r>
      <w:r w:rsidR="00DD140D" w:rsidRPr="007E4472">
        <w:rPr>
          <w:rFonts w:cstheme="minorHAnsi"/>
          <w:color w:val="000000" w:themeColor="text1"/>
          <w:sz w:val="24"/>
          <w:szCs w:val="24"/>
        </w:rPr>
        <w:t>Riggot</w:t>
      </w:r>
      <w:r w:rsidR="00353683" w:rsidRPr="007E4472">
        <w:rPr>
          <w:rFonts w:cstheme="minorHAnsi"/>
          <w:color w:val="000000" w:themeColor="text1"/>
          <w:sz w:val="24"/>
          <w:szCs w:val="24"/>
        </w:rPr>
        <w:t>t</w:t>
      </w:r>
      <w:r w:rsidR="00FA4253" w:rsidRPr="007E4472">
        <w:rPr>
          <w:rFonts w:cstheme="minorHAnsi"/>
          <w:color w:val="000000" w:themeColor="text1"/>
          <w:sz w:val="24"/>
          <w:szCs w:val="24"/>
          <w:vertAlign w:val="superscript"/>
        </w:rPr>
        <w:t>1</w:t>
      </w:r>
      <w:proofErr w:type="gramStart"/>
      <w:r>
        <w:rPr>
          <w:rFonts w:cstheme="minorHAnsi"/>
          <w:color w:val="000000" w:themeColor="text1"/>
          <w:sz w:val="24"/>
          <w:szCs w:val="24"/>
        </w:rPr>
        <w:t>;</w:t>
      </w:r>
      <w:r w:rsidR="00944FCE" w:rsidRPr="007E4472">
        <w:rPr>
          <w:rFonts w:cstheme="minorHAnsi"/>
          <w:color w:val="000000" w:themeColor="text1"/>
          <w:sz w:val="24"/>
          <w:szCs w:val="24"/>
        </w:rPr>
        <w:t>Joseph</w:t>
      </w:r>
      <w:proofErr w:type="gramEnd"/>
      <w:r w:rsidR="00DD140D" w:rsidRPr="007E4472">
        <w:rPr>
          <w:rFonts w:cstheme="minorHAnsi"/>
          <w:color w:val="000000" w:themeColor="text1"/>
          <w:sz w:val="24"/>
          <w:szCs w:val="24"/>
        </w:rPr>
        <w:t xml:space="preserve"> </w:t>
      </w:r>
      <w:r w:rsidR="00353683" w:rsidRPr="007E4472">
        <w:rPr>
          <w:rFonts w:cstheme="minorHAnsi"/>
          <w:color w:val="000000" w:themeColor="text1"/>
          <w:sz w:val="24"/>
          <w:szCs w:val="24"/>
        </w:rPr>
        <w:t xml:space="preserve">L. </w:t>
      </w:r>
      <w:r w:rsidR="00DD140D" w:rsidRPr="007E4472">
        <w:rPr>
          <w:rFonts w:cstheme="minorHAnsi"/>
          <w:color w:val="000000" w:themeColor="text1"/>
          <w:sz w:val="24"/>
          <w:szCs w:val="24"/>
        </w:rPr>
        <w:t>Kuti</w:t>
      </w:r>
      <w:r w:rsidR="00FA4253" w:rsidRPr="007E4472">
        <w:rPr>
          <w:rFonts w:cstheme="minorHAnsi"/>
          <w:color w:val="000000" w:themeColor="text1"/>
          <w:sz w:val="24"/>
          <w:szCs w:val="24"/>
          <w:vertAlign w:val="superscript"/>
        </w:rPr>
        <w:t>2</w:t>
      </w:r>
      <w:r>
        <w:rPr>
          <w:rFonts w:cstheme="minorHAnsi"/>
          <w:color w:val="000000" w:themeColor="text1"/>
          <w:sz w:val="24"/>
          <w:szCs w:val="24"/>
        </w:rPr>
        <w:t>;</w:t>
      </w:r>
      <w:r w:rsidRPr="007E4472">
        <w:rPr>
          <w:rFonts w:cstheme="minorHAnsi"/>
          <w:color w:val="000000" w:themeColor="text1"/>
          <w:sz w:val="24"/>
          <w:szCs w:val="24"/>
        </w:rPr>
        <w:t xml:space="preserve"> </w:t>
      </w:r>
      <w:r w:rsidR="00DD140D" w:rsidRPr="007E4472">
        <w:rPr>
          <w:rFonts w:cstheme="minorHAnsi"/>
          <w:color w:val="000000" w:themeColor="text1"/>
          <w:sz w:val="24"/>
          <w:szCs w:val="24"/>
        </w:rPr>
        <w:t xml:space="preserve">David </w:t>
      </w:r>
      <w:r w:rsidR="00E95CEF" w:rsidRPr="007E4472">
        <w:rPr>
          <w:rFonts w:cstheme="minorHAnsi"/>
          <w:color w:val="000000" w:themeColor="text1"/>
          <w:sz w:val="24"/>
          <w:szCs w:val="24"/>
        </w:rPr>
        <w:t xml:space="preserve">M. </w:t>
      </w:r>
      <w:r w:rsidR="00DD140D" w:rsidRPr="007E4472">
        <w:rPr>
          <w:rFonts w:cstheme="minorHAnsi"/>
          <w:color w:val="000000" w:themeColor="text1"/>
          <w:sz w:val="24"/>
          <w:szCs w:val="24"/>
        </w:rPr>
        <w:t>O’Sullivan</w:t>
      </w:r>
      <w:r w:rsidR="00FA4253" w:rsidRPr="007E4472">
        <w:rPr>
          <w:rFonts w:cstheme="minorHAnsi"/>
          <w:color w:val="000000" w:themeColor="text1"/>
          <w:sz w:val="24"/>
          <w:szCs w:val="24"/>
          <w:vertAlign w:val="superscript"/>
        </w:rPr>
        <w:t>3</w:t>
      </w:r>
      <w:r>
        <w:rPr>
          <w:rFonts w:cstheme="minorHAnsi"/>
          <w:color w:val="000000" w:themeColor="text1"/>
          <w:sz w:val="24"/>
          <w:szCs w:val="24"/>
        </w:rPr>
        <w:t>;</w:t>
      </w:r>
      <w:r w:rsidRPr="007E4472">
        <w:rPr>
          <w:rFonts w:cstheme="minorHAnsi"/>
          <w:color w:val="000000" w:themeColor="text1"/>
          <w:sz w:val="24"/>
          <w:szCs w:val="24"/>
        </w:rPr>
        <w:t xml:space="preserve"> </w:t>
      </w:r>
      <w:r w:rsidR="00DD140D" w:rsidRPr="007E4472">
        <w:rPr>
          <w:rFonts w:cstheme="minorHAnsi"/>
          <w:color w:val="000000" w:themeColor="text1"/>
          <w:sz w:val="24"/>
          <w:szCs w:val="24"/>
        </w:rPr>
        <w:t xml:space="preserve">Kristin </w:t>
      </w:r>
      <w:r w:rsidR="00353683" w:rsidRPr="007E4472">
        <w:rPr>
          <w:rFonts w:cstheme="minorHAnsi"/>
          <w:color w:val="000000" w:themeColor="text1"/>
          <w:sz w:val="24"/>
          <w:szCs w:val="24"/>
        </w:rPr>
        <w:t xml:space="preserve">E. </w:t>
      </w:r>
      <w:r w:rsidR="00DD140D" w:rsidRPr="007E4472">
        <w:rPr>
          <w:rFonts w:cstheme="minorHAnsi"/>
          <w:color w:val="000000" w:themeColor="text1"/>
          <w:sz w:val="24"/>
          <w:szCs w:val="24"/>
        </w:rPr>
        <w:t>Linder</w:t>
      </w:r>
      <w:r w:rsidR="00FA4253" w:rsidRPr="007E4472">
        <w:rPr>
          <w:rFonts w:cstheme="minorHAnsi"/>
          <w:color w:val="000000" w:themeColor="text1"/>
          <w:sz w:val="24"/>
          <w:szCs w:val="24"/>
          <w:vertAlign w:val="superscript"/>
        </w:rPr>
        <w:t>1</w:t>
      </w:r>
      <w:r>
        <w:rPr>
          <w:rFonts w:cstheme="minorHAnsi"/>
          <w:color w:val="000000" w:themeColor="text1"/>
          <w:sz w:val="24"/>
          <w:szCs w:val="24"/>
          <w:vertAlign w:val="superscript"/>
        </w:rPr>
        <w:t xml:space="preserve"> </w:t>
      </w:r>
    </w:p>
    <w:p w:rsidR="00FA4253" w:rsidRPr="007E4472" w:rsidRDefault="00FA4253" w:rsidP="007E4472">
      <w:pPr>
        <w:spacing w:after="120" w:line="240" w:lineRule="auto"/>
        <w:rPr>
          <w:rFonts w:cstheme="minorHAnsi"/>
          <w:color w:val="000000" w:themeColor="text1"/>
          <w:sz w:val="24"/>
          <w:szCs w:val="24"/>
        </w:rPr>
      </w:pPr>
      <w:r w:rsidRPr="007E4472">
        <w:rPr>
          <w:rFonts w:cstheme="minorHAnsi"/>
          <w:color w:val="000000" w:themeColor="text1"/>
          <w:sz w:val="24"/>
          <w:szCs w:val="24"/>
          <w:vertAlign w:val="superscript"/>
        </w:rPr>
        <w:t>1</w:t>
      </w:r>
      <w:r w:rsidRPr="007E4472">
        <w:rPr>
          <w:rFonts w:cstheme="minorHAnsi"/>
          <w:color w:val="000000" w:themeColor="text1"/>
          <w:sz w:val="24"/>
          <w:szCs w:val="24"/>
        </w:rPr>
        <w:t xml:space="preserve">Department of Pharmacy, </w:t>
      </w:r>
      <w:r w:rsidRPr="007E4472">
        <w:rPr>
          <w:rFonts w:cstheme="minorHAnsi"/>
          <w:color w:val="000000" w:themeColor="text1"/>
          <w:sz w:val="24"/>
          <w:szCs w:val="24"/>
          <w:vertAlign w:val="superscript"/>
        </w:rPr>
        <w:t>2</w:t>
      </w:r>
      <w:r w:rsidRPr="007E4472">
        <w:rPr>
          <w:rFonts w:cstheme="minorHAnsi"/>
          <w:color w:val="000000" w:themeColor="text1"/>
          <w:sz w:val="24"/>
          <w:szCs w:val="24"/>
        </w:rPr>
        <w:t xml:space="preserve">Center for Anti-Infective Research and Development, </w:t>
      </w:r>
      <w:r w:rsidRPr="007E4472">
        <w:rPr>
          <w:rFonts w:cstheme="minorHAnsi"/>
          <w:color w:val="000000" w:themeColor="text1"/>
          <w:sz w:val="24"/>
          <w:szCs w:val="24"/>
          <w:vertAlign w:val="superscript"/>
        </w:rPr>
        <w:t>3</w:t>
      </w:r>
      <w:r w:rsidRPr="007E4472">
        <w:rPr>
          <w:rFonts w:cstheme="minorHAnsi"/>
          <w:color w:val="000000" w:themeColor="text1"/>
          <w:sz w:val="24"/>
          <w:szCs w:val="24"/>
        </w:rPr>
        <w:t xml:space="preserve">Research </w:t>
      </w:r>
      <w:r w:rsidR="00F426EA" w:rsidRPr="007E4472">
        <w:rPr>
          <w:rFonts w:cstheme="minorHAnsi"/>
          <w:color w:val="000000" w:themeColor="text1"/>
          <w:sz w:val="24"/>
          <w:szCs w:val="24"/>
        </w:rPr>
        <w:t>Administration</w:t>
      </w:r>
      <w:r w:rsidRPr="007E4472">
        <w:rPr>
          <w:rFonts w:cstheme="minorHAnsi"/>
          <w:color w:val="000000" w:themeColor="text1"/>
          <w:sz w:val="24"/>
          <w:szCs w:val="24"/>
        </w:rPr>
        <w:t>, Hartford Hospital, Hartford, CT</w:t>
      </w:r>
    </w:p>
    <w:p w:rsidR="00DD140D" w:rsidRPr="007E4472" w:rsidRDefault="00DD140D" w:rsidP="007E4472">
      <w:pPr>
        <w:spacing w:after="120" w:line="240" w:lineRule="auto"/>
        <w:rPr>
          <w:rFonts w:cstheme="minorHAnsi"/>
          <w:color w:val="000000" w:themeColor="text1"/>
          <w:sz w:val="24"/>
          <w:szCs w:val="24"/>
        </w:rPr>
      </w:pPr>
      <w:r w:rsidRPr="00DF5006">
        <w:rPr>
          <w:rFonts w:cstheme="minorHAnsi"/>
          <w:b/>
          <w:caps/>
          <w:color w:val="000000" w:themeColor="text1"/>
          <w:sz w:val="24"/>
          <w:szCs w:val="24"/>
        </w:rPr>
        <w:t>Background</w:t>
      </w:r>
      <w:r w:rsidRPr="007E4472">
        <w:rPr>
          <w:rFonts w:cstheme="minorHAnsi"/>
          <w:b/>
          <w:color w:val="000000" w:themeColor="text1"/>
          <w:sz w:val="24"/>
          <w:szCs w:val="24"/>
        </w:rPr>
        <w:t>:</w:t>
      </w:r>
      <w:r w:rsidR="00CA4ECB" w:rsidRPr="007E4472">
        <w:rPr>
          <w:rFonts w:cstheme="minorHAnsi"/>
          <w:b/>
          <w:color w:val="000000" w:themeColor="text1"/>
          <w:sz w:val="24"/>
          <w:szCs w:val="24"/>
        </w:rPr>
        <w:t xml:space="preserve"> </w:t>
      </w:r>
      <w:r w:rsidR="00662BEF" w:rsidRPr="007E4472">
        <w:rPr>
          <w:rFonts w:cstheme="minorHAnsi"/>
          <w:color w:val="000000" w:themeColor="text1"/>
          <w:sz w:val="24"/>
          <w:szCs w:val="24"/>
        </w:rPr>
        <w:t>R</w:t>
      </w:r>
      <w:r w:rsidR="001F5509" w:rsidRPr="007E4472">
        <w:rPr>
          <w:rFonts w:cstheme="minorHAnsi"/>
          <w:color w:val="000000" w:themeColor="text1"/>
          <w:sz w:val="24"/>
          <w:szCs w:val="24"/>
        </w:rPr>
        <w:t xml:space="preserve">ecent studies suggest that </w:t>
      </w:r>
      <w:r w:rsidR="00F011A3" w:rsidRPr="007E4472">
        <w:rPr>
          <w:rFonts w:cstheme="minorHAnsi"/>
          <w:color w:val="000000" w:themeColor="text1"/>
          <w:sz w:val="24"/>
          <w:szCs w:val="24"/>
        </w:rPr>
        <w:t xml:space="preserve">many </w:t>
      </w:r>
      <w:r w:rsidR="00074A68" w:rsidRPr="007E4472">
        <w:rPr>
          <w:rFonts w:cstheme="minorHAnsi"/>
          <w:color w:val="000000" w:themeColor="text1"/>
          <w:sz w:val="24"/>
          <w:szCs w:val="24"/>
        </w:rPr>
        <w:t xml:space="preserve">hospitalized influenza patients </w:t>
      </w:r>
      <w:proofErr w:type="gramStart"/>
      <w:r w:rsidR="00F011A3" w:rsidRPr="007E4472">
        <w:rPr>
          <w:rFonts w:cstheme="minorHAnsi"/>
          <w:color w:val="000000" w:themeColor="text1"/>
          <w:sz w:val="24"/>
          <w:szCs w:val="24"/>
        </w:rPr>
        <w:t>are continued</w:t>
      </w:r>
      <w:proofErr w:type="gramEnd"/>
      <w:r w:rsidR="00F011A3" w:rsidRPr="007E4472">
        <w:rPr>
          <w:rFonts w:cstheme="minorHAnsi"/>
          <w:color w:val="000000" w:themeColor="text1"/>
          <w:sz w:val="24"/>
          <w:szCs w:val="24"/>
        </w:rPr>
        <w:t xml:space="preserve"> </w:t>
      </w:r>
      <w:r w:rsidR="00074A68" w:rsidRPr="007E4472">
        <w:rPr>
          <w:rFonts w:cstheme="minorHAnsi"/>
          <w:color w:val="000000" w:themeColor="text1"/>
          <w:sz w:val="24"/>
          <w:szCs w:val="24"/>
        </w:rPr>
        <w:t xml:space="preserve">on empiric </w:t>
      </w:r>
      <w:r w:rsidR="00F426EA" w:rsidRPr="007E4472">
        <w:rPr>
          <w:rFonts w:cstheme="minorHAnsi"/>
          <w:color w:val="000000" w:themeColor="text1"/>
          <w:sz w:val="24"/>
          <w:szCs w:val="24"/>
        </w:rPr>
        <w:t xml:space="preserve">antibiotics </w:t>
      </w:r>
      <w:r w:rsidR="00F011A3" w:rsidRPr="007E4472">
        <w:rPr>
          <w:rFonts w:cstheme="minorHAnsi"/>
          <w:color w:val="000000" w:themeColor="text1"/>
          <w:sz w:val="24"/>
          <w:szCs w:val="24"/>
        </w:rPr>
        <w:t>inappropriately without evidence of bacterial infection.</w:t>
      </w:r>
      <w:r w:rsidR="00F426EA" w:rsidRPr="007E4472">
        <w:rPr>
          <w:rFonts w:cstheme="minorHAnsi"/>
          <w:color w:val="000000" w:themeColor="text1"/>
          <w:sz w:val="24"/>
          <w:szCs w:val="24"/>
        </w:rPr>
        <w:t xml:space="preserve"> </w:t>
      </w:r>
      <w:r w:rsidR="00E95CEF" w:rsidRPr="007E4472">
        <w:rPr>
          <w:rFonts w:cstheme="minorHAnsi"/>
          <w:color w:val="000000" w:themeColor="text1"/>
          <w:sz w:val="24"/>
          <w:szCs w:val="24"/>
        </w:rPr>
        <w:t>Procalcitonin</w:t>
      </w:r>
      <w:r w:rsidR="00E95CEF" w:rsidRPr="007E4472">
        <w:rPr>
          <w:rFonts w:cstheme="minorHAnsi"/>
          <w:b/>
          <w:color w:val="000000" w:themeColor="text1"/>
          <w:sz w:val="24"/>
          <w:szCs w:val="24"/>
        </w:rPr>
        <w:t xml:space="preserve"> </w:t>
      </w:r>
      <w:r w:rsidR="00E95CEF" w:rsidRPr="007E4472">
        <w:rPr>
          <w:rFonts w:cstheme="minorHAnsi"/>
          <w:color w:val="000000" w:themeColor="text1"/>
          <w:sz w:val="24"/>
          <w:szCs w:val="24"/>
        </w:rPr>
        <w:t>(</w:t>
      </w:r>
      <w:r w:rsidR="00F426EA" w:rsidRPr="007E4472">
        <w:rPr>
          <w:rFonts w:cstheme="minorHAnsi"/>
          <w:color w:val="000000" w:themeColor="text1"/>
          <w:sz w:val="24"/>
          <w:szCs w:val="24"/>
        </w:rPr>
        <w:t>PCT</w:t>
      </w:r>
      <w:r w:rsidR="00E95CEF" w:rsidRPr="007E4472">
        <w:rPr>
          <w:rFonts w:cstheme="minorHAnsi"/>
          <w:color w:val="000000" w:themeColor="text1"/>
          <w:sz w:val="24"/>
          <w:szCs w:val="24"/>
        </w:rPr>
        <w:t>)</w:t>
      </w:r>
      <w:r w:rsidR="00F426EA" w:rsidRPr="007E4472">
        <w:rPr>
          <w:rFonts w:cstheme="minorHAnsi"/>
          <w:color w:val="000000" w:themeColor="text1"/>
          <w:sz w:val="24"/>
          <w:szCs w:val="24"/>
        </w:rPr>
        <w:t xml:space="preserve"> was implemented in our </w:t>
      </w:r>
      <w:r w:rsidR="00E95CEF" w:rsidRPr="007E4472">
        <w:rPr>
          <w:rFonts w:cstheme="minorHAnsi"/>
          <w:color w:val="000000" w:themeColor="text1"/>
          <w:sz w:val="24"/>
          <w:szCs w:val="24"/>
        </w:rPr>
        <w:t>emergency department (</w:t>
      </w:r>
      <w:r w:rsidR="00F426EA" w:rsidRPr="007E4472">
        <w:rPr>
          <w:rFonts w:cstheme="minorHAnsi"/>
          <w:color w:val="000000" w:themeColor="text1"/>
          <w:sz w:val="24"/>
          <w:szCs w:val="24"/>
        </w:rPr>
        <w:t>ED</w:t>
      </w:r>
      <w:r w:rsidR="00E95CEF" w:rsidRPr="007E4472">
        <w:rPr>
          <w:rFonts w:cstheme="minorHAnsi"/>
          <w:color w:val="000000" w:themeColor="text1"/>
          <w:sz w:val="24"/>
          <w:szCs w:val="24"/>
        </w:rPr>
        <w:t>)</w:t>
      </w:r>
      <w:r w:rsidR="00F426EA" w:rsidRPr="007E4472">
        <w:rPr>
          <w:rFonts w:cstheme="minorHAnsi"/>
          <w:color w:val="000000" w:themeColor="text1"/>
          <w:sz w:val="24"/>
          <w:szCs w:val="24"/>
        </w:rPr>
        <w:t xml:space="preserve"> to aid providers in discontinuing unnecessary antibiotics in patients with influenza.</w:t>
      </w:r>
      <w:r w:rsidR="00F011A3" w:rsidRPr="007E4472">
        <w:rPr>
          <w:rFonts w:cstheme="minorHAnsi"/>
          <w:color w:val="000000" w:themeColor="text1"/>
          <w:sz w:val="24"/>
          <w:szCs w:val="24"/>
        </w:rPr>
        <w:t xml:space="preserve"> </w:t>
      </w:r>
      <w:r w:rsidR="00F426EA" w:rsidRPr="007E4472">
        <w:rPr>
          <w:rFonts w:cstheme="minorHAnsi"/>
          <w:color w:val="000000" w:themeColor="text1"/>
          <w:sz w:val="24"/>
          <w:szCs w:val="24"/>
        </w:rPr>
        <w:t>Herein, we evaluated PCT utilization in the ED and its effects on antibiotic length of therapy (LOT) and patient length of stay (LOS) in the hospital.</w:t>
      </w:r>
      <w:r w:rsidR="00CA4ECB" w:rsidRPr="007E4472">
        <w:rPr>
          <w:rFonts w:cstheme="minorHAnsi"/>
          <w:color w:val="000000" w:themeColor="text1"/>
          <w:sz w:val="24"/>
          <w:szCs w:val="24"/>
        </w:rPr>
        <w:t xml:space="preserve"> </w:t>
      </w:r>
      <w:r w:rsidR="00532E5F" w:rsidRPr="007E4472">
        <w:rPr>
          <w:rFonts w:cstheme="minorHAnsi"/>
          <w:color w:val="000000" w:themeColor="text1"/>
          <w:sz w:val="24"/>
          <w:szCs w:val="24"/>
        </w:rPr>
        <w:t xml:space="preserve"> </w:t>
      </w:r>
    </w:p>
    <w:p w:rsidR="00532E5F" w:rsidRPr="007E4472" w:rsidRDefault="00DD140D" w:rsidP="007E4472">
      <w:pPr>
        <w:spacing w:after="120" w:line="240" w:lineRule="auto"/>
        <w:rPr>
          <w:rFonts w:cstheme="minorHAnsi"/>
          <w:color w:val="000000" w:themeColor="text1"/>
          <w:sz w:val="24"/>
          <w:szCs w:val="24"/>
        </w:rPr>
      </w:pPr>
      <w:r w:rsidRPr="00DF5006">
        <w:rPr>
          <w:rFonts w:cstheme="minorHAnsi"/>
          <w:b/>
          <w:caps/>
          <w:color w:val="000000" w:themeColor="text1"/>
          <w:sz w:val="24"/>
          <w:szCs w:val="24"/>
        </w:rPr>
        <w:t>Methods</w:t>
      </w:r>
      <w:r w:rsidRPr="007E4472">
        <w:rPr>
          <w:rFonts w:cstheme="minorHAnsi"/>
          <w:b/>
          <w:color w:val="000000" w:themeColor="text1"/>
          <w:sz w:val="24"/>
          <w:szCs w:val="24"/>
        </w:rPr>
        <w:t>:</w:t>
      </w:r>
      <w:r w:rsidR="00FA4253" w:rsidRPr="007E4472">
        <w:rPr>
          <w:rFonts w:cstheme="minorHAnsi"/>
          <w:b/>
          <w:color w:val="000000" w:themeColor="text1"/>
          <w:sz w:val="24"/>
          <w:szCs w:val="24"/>
        </w:rPr>
        <w:t xml:space="preserve"> </w:t>
      </w:r>
      <w:r w:rsidR="00532E5F" w:rsidRPr="007E4472">
        <w:rPr>
          <w:rFonts w:cstheme="minorHAnsi"/>
          <w:color w:val="000000" w:themeColor="text1"/>
          <w:sz w:val="24"/>
          <w:szCs w:val="24"/>
        </w:rPr>
        <w:t>This</w:t>
      </w:r>
      <w:r w:rsidR="00F426EA" w:rsidRPr="007E4472">
        <w:rPr>
          <w:rFonts w:cstheme="minorHAnsi"/>
          <w:color w:val="000000" w:themeColor="text1"/>
          <w:sz w:val="24"/>
          <w:szCs w:val="24"/>
        </w:rPr>
        <w:t xml:space="preserve"> single-center,</w:t>
      </w:r>
      <w:r w:rsidR="00532E5F" w:rsidRPr="007E4472">
        <w:rPr>
          <w:rFonts w:cstheme="minorHAnsi"/>
          <w:color w:val="000000" w:themeColor="text1"/>
          <w:sz w:val="24"/>
          <w:szCs w:val="24"/>
        </w:rPr>
        <w:t xml:space="preserve"> retrospective study </w:t>
      </w:r>
      <w:r w:rsidR="00F426EA" w:rsidRPr="007E4472">
        <w:rPr>
          <w:rFonts w:cstheme="minorHAnsi"/>
          <w:color w:val="000000" w:themeColor="text1"/>
          <w:sz w:val="24"/>
          <w:szCs w:val="24"/>
        </w:rPr>
        <w:t>included adult influenza-positive p</w:t>
      </w:r>
      <w:r w:rsidR="00532E5F" w:rsidRPr="007E4472">
        <w:rPr>
          <w:rFonts w:cstheme="minorHAnsi"/>
          <w:color w:val="000000" w:themeColor="text1"/>
          <w:sz w:val="24"/>
          <w:szCs w:val="24"/>
        </w:rPr>
        <w:t xml:space="preserve">atients </w:t>
      </w:r>
      <w:r w:rsidR="00F426EA" w:rsidRPr="007E4472">
        <w:rPr>
          <w:rFonts w:cstheme="minorHAnsi"/>
          <w:color w:val="000000" w:themeColor="text1"/>
          <w:sz w:val="24"/>
          <w:szCs w:val="24"/>
        </w:rPr>
        <w:t xml:space="preserve">admitted from the ED </w:t>
      </w:r>
      <w:r w:rsidR="00532E5F" w:rsidRPr="007E4472">
        <w:rPr>
          <w:rFonts w:cstheme="minorHAnsi"/>
          <w:color w:val="000000" w:themeColor="text1"/>
          <w:sz w:val="24"/>
          <w:szCs w:val="24"/>
        </w:rPr>
        <w:t xml:space="preserve">during the 2017-2018 influenza </w:t>
      </w:r>
      <w:proofErr w:type="gramStart"/>
      <w:r w:rsidR="00532E5F" w:rsidRPr="007E4472">
        <w:rPr>
          <w:rFonts w:cstheme="minorHAnsi"/>
          <w:color w:val="000000" w:themeColor="text1"/>
          <w:sz w:val="24"/>
          <w:szCs w:val="24"/>
        </w:rPr>
        <w:t>season</w:t>
      </w:r>
      <w:proofErr w:type="gramEnd"/>
      <w:r w:rsidR="00532E5F" w:rsidRPr="007E4472">
        <w:rPr>
          <w:rFonts w:cstheme="minorHAnsi"/>
          <w:color w:val="000000" w:themeColor="text1"/>
          <w:sz w:val="24"/>
          <w:szCs w:val="24"/>
        </w:rPr>
        <w:t xml:space="preserve">. </w:t>
      </w:r>
      <w:r w:rsidR="005C3E90" w:rsidRPr="007E4472">
        <w:rPr>
          <w:rFonts w:cstheme="minorHAnsi"/>
          <w:color w:val="000000" w:themeColor="text1"/>
          <w:sz w:val="24"/>
          <w:szCs w:val="24"/>
        </w:rPr>
        <w:t>Patient demographics, vitals, antimicrobial therapy, PCT use</w:t>
      </w:r>
      <w:r w:rsidR="00662BEF" w:rsidRPr="007E4472">
        <w:rPr>
          <w:rFonts w:cstheme="minorHAnsi"/>
          <w:color w:val="000000" w:themeColor="text1"/>
          <w:sz w:val="24"/>
          <w:szCs w:val="24"/>
        </w:rPr>
        <w:t>, and outcomes</w:t>
      </w:r>
      <w:r w:rsidR="00F426EA" w:rsidRPr="007E4472">
        <w:rPr>
          <w:rFonts w:cstheme="minorHAnsi"/>
          <w:color w:val="000000" w:themeColor="text1"/>
          <w:sz w:val="24"/>
          <w:szCs w:val="24"/>
        </w:rPr>
        <w:t>, including LOT, LOS</w:t>
      </w:r>
      <w:r w:rsidR="00BF082C" w:rsidRPr="007E4472">
        <w:rPr>
          <w:rFonts w:cstheme="minorHAnsi"/>
          <w:color w:val="000000" w:themeColor="text1"/>
          <w:sz w:val="24"/>
          <w:szCs w:val="24"/>
        </w:rPr>
        <w:t xml:space="preserve">, </w:t>
      </w:r>
      <w:r w:rsidR="00F426EA" w:rsidRPr="007E4472">
        <w:rPr>
          <w:rFonts w:cstheme="minorHAnsi"/>
          <w:color w:val="000000" w:themeColor="text1"/>
          <w:sz w:val="24"/>
          <w:szCs w:val="24"/>
        </w:rPr>
        <w:t>end of hospital mortality</w:t>
      </w:r>
      <w:r w:rsidR="00BF082C" w:rsidRPr="007E4472">
        <w:rPr>
          <w:rFonts w:cstheme="minorHAnsi"/>
          <w:color w:val="000000" w:themeColor="text1"/>
          <w:sz w:val="24"/>
          <w:szCs w:val="24"/>
        </w:rPr>
        <w:t xml:space="preserve">, and </w:t>
      </w:r>
      <w:r w:rsidR="005260B2" w:rsidRPr="007E4472">
        <w:rPr>
          <w:rFonts w:cstheme="minorHAnsi"/>
          <w:color w:val="000000" w:themeColor="text1"/>
          <w:sz w:val="24"/>
          <w:szCs w:val="24"/>
        </w:rPr>
        <w:t>30-</w:t>
      </w:r>
      <w:r w:rsidR="00BF082C" w:rsidRPr="007E4472">
        <w:rPr>
          <w:rFonts w:cstheme="minorHAnsi"/>
          <w:color w:val="000000" w:themeColor="text1"/>
          <w:sz w:val="24"/>
          <w:szCs w:val="24"/>
        </w:rPr>
        <w:t>day readmission</w:t>
      </w:r>
      <w:r w:rsidR="005C3E90" w:rsidRPr="007E4472">
        <w:rPr>
          <w:rFonts w:cstheme="minorHAnsi"/>
          <w:color w:val="000000" w:themeColor="text1"/>
          <w:sz w:val="24"/>
          <w:szCs w:val="24"/>
        </w:rPr>
        <w:t xml:space="preserve"> </w:t>
      </w:r>
      <w:proofErr w:type="gramStart"/>
      <w:r w:rsidR="005C3E90" w:rsidRPr="007E4472">
        <w:rPr>
          <w:rFonts w:cstheme="minorHAnsi"/>
          <w:color w:val="000000" w:themeColor="text1"/>
          <w:sz w:val="24"/>
          <w:szCs w:val="24"/>
        </w:rPr>
        <w:t xml:space="preserve">were </w:t>
      </w:r>
      <w:r w:rsidR="00BF082C" w:rsidRPr="007E4472">
        <w:rPr>
          <w:rFonts w:cstheme="minorHAnsi"/>
          <w:color w:val="000000" w:themeColor="text1"/>
          <w:sz w:val="24"/>
          <w:szCs w:val="24"/>
        </w:rPr>
        <w:t>compared</w:t>
      </w:r>
      <w:proofErr w:type="gramEnd"/>
      <w:r w:rsidR="00BF082C" w:rsidRPr="007E4472">
        <w:rPr>
          <w:rFonts w:cstheme="minorHAnsi"/>
          <w:color w:val="000000" w:themeColor="text1"/>
          <w:sz w:val="24"/>
          <w:szCs w:val="24"/>
        </w:rPr>
        <w:t xml:space="preserve"> for patients who had PCT-guided therapy (PCT-GT) versus those who did not</w:t>
      </w:r>
      <w:r w:rsidR="005C3E90" w:rsidRPr="007E4472">
        <w:rPr>
          <w:rFonts w:cstheme="minorHAnsi"/>
          <w:color w:val="000000" w:themeColor="text1"/>
          <w:sz w:val="24"/>
          <w:szCs w:val="24"/>
        </w:rPr>
        <w:t>.</w:t>
      </w:r>
      <w:r w:rsidR="00CA4ECB" w:rsidRPr="007E4472">
        <w:rPr>
          <w:rFonts w:cstheme="minorHAnsi"/>
          <w:color w:val="000000" w:themeColor="text1"/>
          <w:sz w:val="24"/>
          <w:szCs w:val="24"/>
        </w:rPr>
        <w:t xml:space="preserve"> </w:t>
      </w:r>
      <w:r w:rsidR="00F426EA" w:rsidRPr="007E4472">
        <w:rPr>
          <w:rFonts w:cstheme="minorHAnsi"/>
          <w:color w:val="000000" w:themeColor="text1"/>
          <w:sz w:val="24"/>
          <w:szCs w:val="24"/>
        </w:rPr>
        <w:t>PCT-GT</w:t>
      </w:r>
      <w:r w:rsidR="00816EDB" w:rsidRPr="007E4472">
        <w:rPr>
          <w:rFonts w:cstheme="minorHAnsi"/>
          <w:color w:val="000000" w:themeColor="text1"/>
          <w:sz w:val="24"/>
          <w:szCs w:val="24"/>
        </w:rPr>
        <w:t xml:space="preserve"> was defined as antibiotics withheld or discontinued within 24 hours after </w:t>
      </w:r>
      <w:r w:rsidR="00F426EA" w:rsidRPr="007E4472">
        <w:rPr>
          <w:rFonts w:cstheme="minorHAnsi"/>
          <w:color w:val="000000" w:themeColor="text1"/>
          <w:sz w:val="24"/>
          <w:szCs w:val="24"/>
        </w:rPr>
        <w:t>resulting</w:t>
      </w:r>
      <w:r w:rsidR="00816EDB" w:rsidRPr="007E4472">
        <w:rPr>
          <w:rFonts w:cstheme="minorHAnsi"/>
          <w:color w:val="000000" w:themeColor="text1"/>
          <w:sz w:val="24"/>
          <w:szCs w:val="24"/>
        </w:rPr>
        <w:t xml:space="preserve"> PCT </w:t>
      </w:r>
      <w:r w:rsidR="005260B2" w:rsidRPr="007E4472">
        <w:rPr>
          <w:rFonts w:cstheme="minorHAnsi"/>
          <w:color w:val="000000" w:themeColor="text1"/>
          <w:sz w:val="24"/>
          <w:szCs w:val="24"/>
        </w:rPr>
        <w:t>≤</w:t>
      </w:r>
      <w:r w:rsidR="00816EDB" w:rsidRPr="007E4472">
        <w:rPr>
          <w:rFonts w:cstheme="minorHAnsi"/>
          <w:color w:val="000000" w:themeColor="text1"/>
          <w:sz w:val="24"/>
          <w:szCs w:val="24"/>
        </w:rPr>
        <w:t xml:space="preserve">0.25 </w:t>
      </w:r>
      <w:proofErr w:type="spellStart"/>
      <w:r w:rsidR="00F426EA" w:rsidRPr="007E4472">
        <w:rPr>
          <w:rFonts w:cstheme="minorHAnsi"/>
          <w:color w:val="000000" w:themeColor="text1"/>
          <w:sz w:val="24"/>
          <w:szCs w:val="24"/>
        </w:rPr>
        <w:t>ng</w:t>
      </w:r>
      <w:proofErr w:type="spellEnd"/>
      <w:r w:rsidR="00F426EA" w:rsidRPr="007E4472">
        <w:rPr>
          <w:rFonts w:cstheme="minorHAnsi"/>
          <w:color w:val="000000" w:themeColor="text1"/>
          <w:sz w:val="24"/>
          <w:szCs w:val="24"/>
        </w:rPr>
        <w:t>/</w:t>
      </w:r>
      <w:proofErr w:type="spellStart"/>
      <w:r w:rsidR="00F426EA" w:rsidRPr="007E4472">
        <w:rPr>
          <w:rFonts w:cstheme="minorHAnsi"/>
          <w:color w:val="000000" w:themeColor="text1"/>
          <w:sz w:val="24"/>
          <w:szCs w:val="24"/>
        </w:rPr>
        <w:t>mL</w:t>
      </w:r>
      <w:proofErr w:type="spellEnd"/>
      <w:r w:rsidR="00F426EA" w:rsidRPr="007E4472">
        <w:rPr>
          <w:rFonts w:cstheme="minorHAnsi"/>
          <w:color w:val="000000" w:themeColor="text1"/>
          <w:sz w:val="24"/>
          <w:szCs w:val="24"/>
        </w:rPr>
        <w:t>,</w:t>
      </w:r>
      <w:r w:rsidR="00816EDB" w:rsidRPr="007E4472">
        <w:rPr>
          <w:rFonts w:cstheme="minorHAnsi"/>
          <w:color w:val="000000" w:themeColor="text1"/>
          <w:sz w:val="24"/>
          <w:szCs w:val="24"/>
        </w:rPr>
        <w:t xml:space="preserve"> or antibiotics administered after a result of PCT </w:t>
      </w:r>
      <w:r w:rsidR="005260B2" w:rsidRPr="007E4472">
        <w:rPr>
          <w:rFonts w:cstheme="minorHAnsi"/>
          <w:color w:val="000000" w:themeColor="text1"/>
          <w:sz w:val="24"/>
          <w:szCs w:val="24"/>
        </w:rPr>
        <w:t>&gt;</w:t>
      </w:r>
      <w:r w:rsidR="00816EDB" w:rsidRPr="007E4472">
        <w:rPr>
          <w:rFonts w:cstheme="minorHAnsi"/>
          <w:color w:val="000000" w:themeColor="text1"/>
          <w:sz w:val="24"/>
          <w:szCs w:val="24"/>
        </w:rPr>
        <w:t xml:space="preserve">0.25 </w:t>
      </w:r>
      <w:proofErr w:type="spellStart"/>
      <w:r w:rsidR="00C211A9" w:rsidRPr="007E4472">
        <w:rPr>
          <w:rFonts w:cstheme="minorHAnsi"/>
          <w:color w:val="000000" w:themeColor="text1"/>
          <w:sz w:val="24"/>
          <w:szCs w:val="24"/>
        </w:rPr>
        <w:t>ng</w:t>
      </w:r>
      <w:proofErr w:type="spellEnd"/>
      <w:r w:rsidR="00C211A9" w:rsidRPr="007E4472">
        <w:rPr>
          <w:rFonts w:cstheme="minorHAnsi"/>
          <w:color w:val="000000" w:themeColor="text1"/>
          <w:sz w:val="24"/>
          <w:szCs w:val="24"/>
        </w:rPr>
        <w:t>/</w:t>
      </w:r>
      <w:proofErr w:type="spellStart"/>
      <w:r w:rsidR="00C211A9" w:rsidRPr="007E4472">
        <w:rPr>
          <w:rFonts w:cstheme="minorHAnsi"/>
          <w:color w:val="000000" w:themeColor="text1"/>
          <w:sz w:val="24"/>
          <w:szCs w:val="24"/>
        </w:rPr>
        <w:t>mL</w:t>
      </w:r>
      <w:r w:rsidR="00816EDB" w:rsidRPr="007E4472">
        <w:rPr>
          <w:rFonts w:cstheme="minorHAnsi"/>
          <w:color w:val="000000" w:themeColor="text1"/>
          <w:sz w:val="24"/>
          <w:szCs w:val="24"/>
        </w:rPr>
        <w:t>.</w:t>
      </w:r>
      <w:proofErr w:type="spellEnd"/>
    </w:p>
    <w:p w:rsidR="00530CBD" w:rsidRPr="007E4472" w:rsidRDefault="00DD140D" w:rsidP="007E4472">
      <w:pPr>
        <w:spacing w:after="120" w:line="240" w:lineRule="auto"/>
        <w:rPr>
          <w:rFonts w:cstheme="minorHAnsi"/>
          <w:color w:val="000000" w:themeColor="text1"/>
          <w:sz w:val="24"/>
          <w:szCs w:val="24"/>
        </w:rPr>
      </w:pPr>
      <w:r w:rsidRPr="00DF5006">
        <w:rPr>
          <w:rFonts w:cstheme="minorHAnsi"/>
          <w:b/>
          <w:caps/>
          <w:color w:val="000000" w:themeColor="text1"/>
          <w:sz w:val="24"/>
          <w:szCs w:val="24"/>
        </w:rPr>
        <w:t>Results</w:t>
      </w:r>
      <w:r w:rsidRPr="007E4472">
        <w:rPr>
          <w:rFonts w:cstheme="minorHAnsi"/>
          <w:b/>
          <w:color w:val="000000" w:themeColor="text1"/>
          <w:sz w:val="24"/>
          <w:szCs w:val="24"/>
        </w:rPr>
        <w:t>:</w:t>
      </w:r>
      <w:r w:rsidR="00FA4253" w:rsidRPr="007E4472">
        <w:rPr>
          <w:rFonts w:cstheme="minorHAnsi"/>
          <w:b/>
          <w:color w:val="000000" w:themeColor="text1"/>
          <w:sz w:val="24"/>
          <w:szCs w:val="24"/>
        </w:rPr>
        <w:t xml:space="preserve"> </w:t>
      </w:r>
      <w:r w:rsidR="00816EDB" w:rsidRPr="007E4472">
        <w:rPr>
          <w:rFonts w:cstheme="minorHAnsi"/>
          <w:color w:val="000000" w:themeColor="text1"/>
          <w:sz w:val="24"/>
          <w:szCs w:val="24"/>
        </w:rPr>
        <w:t xml:space="preserve">Of the 843 </w:t>
      </w:r>
      <w:r w:rsidR="000F21B8" w:rsidRPr="007E4472">
        <w:rPr>
          <w:rFonts w:cstheme="minorHAnsi"/>
          <w:color w:val="000000" w:themeColor="text1"/>
          <w:sz w:val="24"/>
          <w:szCs w:val="24"/>
        </w:rPr>
        <w:t xml:space="preserve">influenza </w:t>
      </w:r>
      <w:r w:rsidR="00816EDB" w:rsidRPr="007E4472">
        <w:rPr>
          <w:rFonts w:cstheme="minorHAnsi"/>
          <w:color w:val="000000" w:themeColor="text1"/>
          <w:sz w:val="24"/>
          <w:szCs w:val="24"/>
        </w:rPr>
        <w:t xml:space="preserve">encounters screened, 325 </w:t>
      </w:r>
      <w:proofErr w:type="gramStart"/>
      <w:r w:rsidR="00816EDB" w:rsidRPr="007E4472">
        <w:rPr>
          <w:rFonts w:cstheme="minorHAnsi"/>
          <w:color w:val="000000" w:themeColor="text1"/>
          <w:sz w:val="24"/>
          <w:szCs w:val="24"/>
        </w:rPr>
        <w:t>were</w:t>
      </w:r>
      <w:r w:rsidR="000F21B8" w:rsidRPr="007E4472">
        <w:rPr>
          <w:rFonts w:cstheme="minorHAnsi"/>
          <w:color w:val="000000" w:themeColor="text1"/>
          <w:sz w:val="24"/>
          <w:szCs w:val="24"/>
        </w:rPr>
        <w:t xml:space="preserve"> admitted</w:t>
      </w:r>
      <w:proofErr w:type="gramEnd"/>
      <w:r w:rsidR="000F21B8" w:rsidRPr="007E4472">
        <w:rPr>
          <w:rFonts w:cstheme="minorHAnsi"/>
          <w:color w:val="000000" w:themeColor="text1"/>
          <w:sz w:val="24"/>
          <w:szCs w:val="24"/>
        </w:rPr>
        <w:t xml:space="preserve"> and met</w:t>
      </w:r>
      <w:r w:rsidR="00816EDB" w:rsidRPr="007E4472">
        <w:rPr>
          <w:rFonts w:cstheme="minorHAnsi"/>
          <w:color w:val="000000" w:themeColor="text1"/>
          <w:sz w:val="24"/>
          <w:szCs w:val="24"/>
        </w:rPr>
        <w:t xml:space="preserve"> inclu</w:t>
      </w:r>
      <w:r w:rsidR="000F21B8" w:rsidRPr="007E4472">
        <w:rPr>
          <w:rFonts w:cstheme="minorHAnsi"/>
          <w:color w:val="000000" w:themeColor="text1"/>
          <w:sz w:val="24"/>
          <w:szCs w:val="24"/>
        </w:rPr>
        <w:t>sion criteria</w:t>
      </w:r>
      <w:r w:rsidR="00816EDB" w:rsidRPr="007E4472">
        <w:rPr>
          <w:rFonts w:cstheme="minorHAnsi"/>
          <w:color w:val="000000" w:themeColor="text1"/>
          <w:sz w:val="24"/>
          <w:szCs w:val="24"/>
        </w:rPr>
        <w:t xml:space="preserve">. </w:t>
      </w:r>
      <w:r w:rsidR="00530CBD" w:rsidRPr="007E4472">
        <w:rPr>
          <w:rFonts w:cstheme="minorHAnsi"/>
          <w:color w:val="000000" w:themeColor="text1"/>
          <w:sz w:val="24"/>
          <w:szCs w:val="24"/>
        </w:rPr>
        <w:t xml:space="preserve">PCT was ordered in 176 patients (54.2%) and 118 (67.0%) </w:t>
      </w:r>
      <w:r w:rsidR="000F21B8" w:rsidRPr="007E4472">
        <w:rPr>
          <w:rFonts w:cstheme="minorHAnsi"/>
          <w:color w:val="000000" w:themeColor="text1"/>
          <w:sz w:val="24"/>
          <w:szCs w:val="24"/>
        </w:rPr>
        <w:t xml:space="preserve">of these patients </w:t>
      </w:r>
      <w:r w:rsidR="00530CBD" w:rsidRPr="007E4472">
        <w:rPr>
          <w:rFonts w:cstheme="minorHAnsi"/>
          <w:color w:val="000000" w:themeColor="text1"/>
          <w:sz w:val="24"/>
          <w:szCs w:val="24"/>
        </w:rPr>
        <w:t>were determined to have PCT-</w:t>
      </w:r>
      <w:r w:rsidR="000F21B8" w:rsidRPr="007E4472">
        <w:rPr>
          <w:rFonts w:cstheme="minorHAnsi"/>
          <w:color w:val="000000" w:themeColor="text1"/>
          <w:sz w:val="24"/>
          <w:szCs w:val="24"/>
        </w:rPr>
        <w:t>GT</w:t>
      </w:r>
      <w:r w:rsidR="00530CBD" w:rsidRPr="007E4472">
        <w:rPr>
          <w:rFonts w:cstheme="minorHAnsi"/>
          <w:color w:val="000000" w:themeColor="text1"/>
          <w:sz w:val="24"/>
          <w:szCs w:val="24"/>
        </w:rPr>
        <w:t xml:space="preserve">. Patients who </w:t>
      </w:r>
      <w:r w:rsidR="000F21B8" w:rsidRPr="007E4472">
        <w:rPr>
          <w:rFonts w:cstheme="minorHAnsi"/>
          <w:color w:val="000000" w:themeColor="text1"/>
          <w:sz w:val="24"/>
          <w:szCs w:val="24"/>
        </w:rPr>
        <w:t xml:space="preserve">had PCT </w:t>
      </w:r>
      <w:r w:rsidR="00530CBD" w:rsidRPr="007E4472">
        <w:rPr>
          <w:rFonts w:cstheme="minorHAnsi"/>
          <w:color w:val="000000" w:themeColor="text1"/>
          <w:sz w:val="24"/>
          <w:szCs w:val="24"/>
        </w:rPr>
        <w:t>ordered were older (</w:t>
      </w:r>
      <w:r w:rsidR="005260B2" w:rsidRPr="007E4472">
        <w:rPr>
          <w:rFonts w:cstheme="minorHAnsi"/>
          <w:color w:val="000000" w:themeColor="text1"/>
          <w:sz w:val="24"/>
          <w:szCs w:val="24"/>
        </w:rPr>
        <w:t xml:space="preserve">mean ± SD, </w:t>
      </w:r>
      <w:r w:rsidR="000F21B8" w:rsidRPr="007E4472">
        <w:rPr>
          <w:rFonts w:cstheme="minorHAnsi"/>
          <w:color w:val="000000" w:themeColor="text1"/>
          <w:sz w:val="24"/>
          <w:szCs w:val="24"/>
        </w:rPr>
        <w:t xml:space="preserve">70 ± </w:t>
      </w:r>
      <w:r w:rsidR="007D3E3F" w:rsidRPr="007E4472">
        <w:rPr>
          <w:rFonts w:cstheme="minorHAnsi"/>
          <w:color w:val="000000" w:themeColor="text1"/>
          <w:sz w:val="24"/>
          <w:szCs w:val="24"/>
        </w:rPr>
        <w:t xml:space="preserve">18 </w:t>
      </w:r>
      <w:r w:rsidR="00530CBD" w:rsidRPr="007E4472">
        <w:rPr>
          <w:rFonts w:cstheme="minorHAnsi"/>
          <w:color w:val="000000" w:themeColor="text1"/>
          <w:sz w:val="24"/>
          <w:szCs w:val="24"/>
        </w:rPr>
        <w:t>vs. 7</w:t>
      </w:r>
      <w:r w:rsidR="00FA12A7" w:rsidRPr="007E4472">
        <w:rPr>
          <w:rFonts w:cstheme="minorHAnsi"/>
          <w:color w:val="000000" w:themeColor="text1"/>
          <w:sz w:val="24"/>
          <w:szCs w:val="24"/>
        </w:rPr>
        <w:t>4</w:t>
      </w:r>
      <w:r w:rsidR="00FF0D0C" w:rsidRPr="007E4472">
        <w:rPr>
          <w:rFonts w:cstheme="minorHAnsi"/>
          <w:color w:val="000000" w:themeColor="text1"/>
          <w:sz w:val="24"/>
          <w:szCs w:val="24"/>
        </w:rPr>
        <w:t xml:space="preserve"> </w:t>
      </w:r>
      <w:r w:rsidR="00BF082C" w:rsidRPr="007E4472">
        <w:rPr>
          <w:rFonts w:cstheme="minorHAnsi"/>
          <w:color w:val="000000" w:themeColor="text1"/>
          <w:sz w:val="24"/>
          <w:szCs w:val="24"/>
        </w:rPr>
        <w:t xml:space="preserve">± </w:t>
      </w:r>
      <w:r w:rsidR="007D3E3F" w:rsidRPr="007E4472">
        <w:rPr>
          <w:rFonts w:cstheme="minorHAnsi"/>
          <w:color w:val="000000" w:themeColor="text1"/>
          <w:sz w:val="24"/>
          <w:szCs w:val="24"/>
        </w:rPr>
        <w:t xml:space="preserve">17 </w:t>
      </w:r>
      <w:r w:rsidR="00FF0D0C" w:rsidRPr="007E4472">
        <w:rPr>
          <w:rFonts w:cstheme="minorHAnsi"/>
          <w:color w:val="000000" w:themeColor="text1"/>
          <w:sz w:val="24"/>
          <w:szCs w:val="24"/>
        </w:rPr>
        <w:t>years</w:t>
      </w:r>
      <w:r w:rsidR="00530CBD" w:rsidRPr="007E4472">
        <w:rPr>
          <w:rFonts w:cstheme="minorHAnsi"/>
          <w:color w:val="000000" w:themeColor="text1"/>
          <w:sz w:val="24"/>
          <w:szCs w:val="24"/>
        </w:rPr>
        <w:t xml:space="preserve">, P = 0.018) and </w:t>
      </w:r>
      <w:r w:rsidR="00074A68" w:rsidRPr="007E4472">
        <w:rPr>
          <w:rFonts w:cstheme="minorHAnsi"/>
          <w:color w:val="000000" w:themeColor="text1"/>
          <w:sz w:val="24"/>
          <w:szCs w:val="24"/>
        </w:rPr>
        <w:t xml:space="preserve">had a </w:t>
      </w:r>
      <w:r w:rsidR="005C3E90" w:rsidRPr="007E4472">
        <w:rPr>
          <w:rFonts w:cstheme="minorHAnsi"/>
          <w:color w:val="000000" w:themeColor="text1"/>
          <w:sz w:val="24"/>
          <w:szCs w:val="24"/>
        </w:rPr>
        <w:t>trend toward</w:t>
      </w:r>
      <w:r w:rsidR="00530CBD" w:rsidRPr="007E4472">
        <w:rPr>
          <w:rFonts w:cstheme="minorHAnsi"/>
          <w:color w:val="000000" w:themeColor="text1"/>
          <w:sz w:val="24"/>
          <w:szCs w:val="24"/>
        </w:rPr>
        <w:t xml:space="preserve"> a </w:t>
      </w:r>
      <w:r w:rsidR="00662BEF" w:rsidRPr="007E4472">
        <w:rPr>
          <w:rFonts w:cstheme="minorHAnsi"/>
          <w:color w:val="000000" w:themeColor="text1"/>
          <w:sz w:val="24"/>
          <w:szCs w:val="24"/>
        </w:rPr>
        <w:t xml:space="preserve">higher </w:t>
      </w:r>
      <w:proofErr w:type="spellStart"/>
      <w:r w:rsidR="00530CBD" w:rsidRPr="007E4472">
        <w:rPr>
          <w:rFonts w:cstheme="minorHAnsi"/>
          <w:color w:val="000000" w:themeColor="text1"/>
          <w:sz w:val="24"/>
          <w:szCs w:val="24"/>
        </w:rPr>
        <w:t>Charlson</w:t>
      </w:r>
      <w:proofErr w:type="spellEnd"/>
      <w:r w:rsidR="00FF3668" w:rsidRPr="007E4472">
        <w:rPr>
          <w:rFonts w:cstheme="minorHAnsi"/>
          <w:color w:val="000000" w:themeColor="text1"/>
          <w:sz w:val="24"/>
          <w:szCs w:val="24"/>
        </w:rPr>
        <w:t xml:space="preserve"> </w:t>
      </w:r>
      <w:proofErr w:type="spellStart"/>
      <w:r w:rsidR="00FF3668" w:rsidRPr="007E4472">
        <w:rPr>
          <w:rFonts w:cstheme="minorHAnsi"/>
          <w:color w:val="000000" w:themeColor="text1"/>
          <w:sz w:val="24"/>
          <w:szCs w:val="24"/>
        </w:rPr>
        <w:t>Comorbidity</w:t>
      </w:r>
      <w:proofErr w:type="spellEnd"/>
      <w:r w:rsidR="00FF3668" w:rsidRPr="007E4472">
        <w:rPr>
          <w:rFonts w:cstheme="minorHAnsi"/>
          <w:color w:val="000000" w:themeColor="text1"/>
          <w:sz w:val="24"/>
          <w:szCs w:val="24"/>
        </w:rPr>
        <w:t xml:space="preserve"> Index </w:t>
      </w:r>
      <w:r w:rsidR="00530CBD" w:rsidRPr="007E4472">
        <w:rPr>
          <w:rFonts w:cstheme="minorHAnsi"/>
          <w:color w:val="000000" w:themeColor="text1"/>
          <w:sz w:val="24"/>
          <w:szCs w:val="24"/>
        </w:rPr>
        <w:t>score (54.5</w:t>
      </w:r>
      <w:r w:rsidR="00662BEF" w:rsidRPr="007E4472">
        <w:rPr>
          <w:rFonts w:cstheme="minorHAnsi"/>
          <w:color w:val="000000" w:themeColor="text1"/>
          <w:sz w:val="24"/>
          <w:szCs w:val="24"/>
        </w:rPr>
        <w:t>%</w:t>
      </w:r>
      <w:r w:rsidR="00530CBD" w:rsidRPr="007E4472">
        <w:rPr>
          <w:rFonts w:cstheme="minorHAnsi"/>
          <w:color w:val="000000" w:themeColor="text1"/>
          <w:sz w:val="24"/>
          <w:szCs w:val="24"/>
        </w:rPr>
        <w:t xml:space="preserve"> vs. 42.3</w:t>
      </w:r>
      <w:r w:rsidR="00662BEF" w:rsidRPr="007E4472">
        <w:rPr>
          <w:rFonts w:cstheme="minorHAnsi"/>
          <w:color w:val="000000" w:themeColor="text1"/>
          <w:sz w:val="24"/>
          <w:szCs w:val="24"/>
        </w:rPr>
        <w:t xml:space="preserve">% </w:t>
      </w:r>
      <w:r w:rsidR="00E31D76" w:rsidRPr="007E4472">
        <w:rPr>
          <w:rFonts w:cstheme="minorHAnsi"/>
          <w:color w:val="000000" w:themeColor="text1"/>
          <w:sz w:val="24"/>
          <w:szCs w:val="24"/>
        </w:rPr>
        <w:t xml:space="preserve">with CCI </w:t>
      </w:r>
      <w:r w:rsidR="005260B2" w:rsidRPr="007E4472">
        <w:rPr>
          <w:rFonts w:cstheme="minorHAnsi"/>
          <w:color w:val="000000" w:themeColor="text1"/>
          <w:sz w:val="24"/>
          <w:szCs w:val="24"/>
        </w:rPr>
        <w:t>&gt;</w:t>
      </w:r>
      <w:proofErr w:type="gramStart"/>
      <w:r w:rsidR="00E31D76" w:rsidRPr="007E4472">
        <w:rPr>
          <w:rFonts w:cstheme="minorHAnsi"/>
          <w:color w:val="000000" w:themeColor="text1"/>
          <w:sz w:val="24"/>
          <w:szCs w:val="24"/>
        </w:rPr>
        <w:t>2</w:t>
      </w:r>
      <w:proofErr w:type="gramEnd"/>
      <w:r w:rsidR="005C3E90" w:rsidRPr="007E4472">
        <w:rPr>
          <w:rFonts w:cstheme="minorHAnsi"/>
          <w:color w:val="000000" w:themeColor="text1"/>
          <w:sz w:val="24"/>
          <w:szCs w:val="24"/>
        </w:rPr>
        <w:t>, P = 0.063</w:t>
      </w:r>
      <w:r w:rsidR="00530CBD" w:rsidRPr="007E4472">
        <w:rPr>
          <w:rFonts w:cstheme="minorHAnsi"/>
          <w:color w:val="000000" w:themeColor="text1"/>
          <w:sz w:val="24"/>
          <w:szCs w:val="24"/>
        </w:rPr>
        <w:t xml:space="preserve">). Patients </w:t>
      </w:r>
      <w:r w:rsidR="00074A68" w:rsidRPr="007E4472">
        <w:rPr>
          <w:rFonts w:cstheme="minorHAnsi"/>
          <w:color w:val="000000" w:themeColor="text1"/>
          <w:sz w:val="24"/>
          <w:szCs w:val="24"/>
        </w:rPr>
        <w:t>with</w:t>
      </w:r>
      <w:r w:rsidR="00530CBD" w:rsidRPr="007E4472">
        <w:rPr>
          <w:rFonts w:cstheme="minorHAnsi"/>
          <w:color w:val="000000" w:themeColor="text1"/>
          <w:sz w:val="24"/>
          <w:szCs w:val="24"/>
        </w:rPr>
        <w:t xml:space="preserve"> PCT-guided therapy were less likely to have recei</w:t>
      </w:r>
      <w:r w:rsidR="005C3E90" w:rsidRPr="007E4472">
        <w:rPr>
          <w:rFonts w:cstheme="minorHAnsi"/>
          <w:color w:val="000000" w:themeColor="text1"/>
          <w:sz w:val="24"/>
          <w:szCs w:val="24"/>
        </w:rPr>
        <w:t>ved empiric antibiotic therapy (61</w:t>
      </w:r>
      <w:r w:rsidR="00BF082C" w:rsidRPr="007E4472">
        <w:rPr>
          <w:rFonts w:cstheme="minorHAnsi"/>
          <w:color w:val="000000" w:themeColor="text1"/>
          <w:sz w:val="24"/>
          <w:szCs w:val="24"/>
        </w:rPr>
        <w:t>.0</w:t>
      </w:r>
      <w:r w:rsidR="00C10E3F" w:rsidRPr="007E4472">
        <w:rPr>
          <w:rFonts w:cstheme="minorHAnsi"/>
          <w:color w:val="000000" w:themeColor="text1"/>
          <w:sz w:val="24"/>
          <w:szCs w:val="24"/>
        </w:rPr>
        <w:t>%</w:t>
      </w:r>
      <w:r w:rsidR="005C3E90" w:rsidRPr="007E4472">
        <w:rPr>
          <w:rFonts w:cstheme="minorHAnsi"/>
          <w:color w:val="000000" w:themeColor="text1"/>
          <w:sz w:val="24"/>
          <w:szCs w:val="24"/>
        </w:rPr>
        <w:t xml:space="preserve"> vs. 87.9%, P &lt; 0.001)</w:t>
      </w:r>
      <w:r w:rsidR="00BF082C" w:rsidRPr="007E4472">
        <w:rPr>
          <w:rFonts w:cstheme="minorHAnsi"/>
          <w:color w:val="000000" w:themeColor="text1"/>
          <w:sz w:val="24"/>
          <w:szCs w:val="24"/>
        </w:rPr>
        <w:t xml:space="preserve">, </w:t>
      </w:r>
      <w:r w:rsidR="005C3E90" w:rsidRPr="007E4472">
        <w:rPr>
          <w:rFonts w:cstheme="minorHAnsi"/>
          <w:color w:val="000000" w:themeColor="text1"/>
          <w:sz w:val="24"/>
          <w:szCs w:val="24"/>
        </w:rPr>
        <w:t xml:space="preserve">had </w:t>
      </w:r>
      <w:r w:rsidR="00BF082C" w:rsidRPr="007E4472">
        <w:rPr>
          <w:rFonts w:cstheme="minorHAnsi"/>
          <w:color w:val="000000" w:themeColor="text1"/>
          <w:sz w:val="24"/>
          <w:szCs w:val="24"/>
        </w:rPr>
        <w:t xml:space="preserve">a </w:t>
      </w:r>
      <w:r w:rsidR="005C3E90" w:rsidRPr="007E4472">
        <w:rPr>
          <w:rFonts w:cstheme="minorHAnsi"/>
          <w:color w:val="000000" w:themeColor="text1"/>
          <w:sz w:val="24"/>
          <w:szCs w:val="24"/>
        </w:rPr>
        <w:t>shorter median LOT (1.65</w:t>
      </w:r>
      <w:r w:rsidR="005260B2" w:rsidRPr="007E4472">
        <w:rPr>
          <w:rFonts w:cstheme="minorHAnsi"/>
          <w:color w:val="000000" w:themeColor="text1"/>
          <w:sz w:val="24"/>
          <w:szCs w:val="24"/>
        </w:rPr>
        <w:t xml:space="preserve"> days</w:t>
      </w:r>
      <w:r w:rsidR="000E6A64" w:rsidRPr="007E4472">
        <w:rPr>
          <w:rFonts w:cstheme="minorHAnsi"/>
          <w:color w:val="000000" w:themeColor="text1"/>
          <w:sz w:val="24"/>
          <w:szCs w:val="24"/>
        </w:rPr>
        <w:t>, IQR 0.11 – 4.53</w:t>
      </w:r>
      <w:r w:rsidR="005C3E90" w:rsidRPr="007E4472">
        <w:rPr>
          <w:rFonts w:cstheme="minorHAnsi"/>
          <w:color w:val="000000" w:themeColor="text1"/>
          <w:sz w:val="24"/>
          <w:szCs w:val="24"/>
        </w:rPr>
        <w:t xml:space="preserve"> vs. 4.00</w:t>
      </w:r>
      <w:r w:rsidR="000E6A64" w:rsidRPr="007E4472">
        <w:rPr>
          <w:rFonts w:cstheme="minorHAnsi"/>
          <w:color w:val="000000" w:themeColor="text1"/>
          <w:sz w:val="24"/>
          <w:szCs w:val="24"/>
        </w:rPr>
        <w:t>, IQR 2.01 – 6.01</w:t>
      </w:r>
      <w:r w:rsidR="00CA4ECB" w:rsidRPr="007E4472">
        <w:rPr>
          <w:rFonts w:cstheme="minorHAnsi"/>
          <w:color w:val="000000" w:themeColor="text1"/>
          <w:sz w:val="24"/>
          <w:szCs w:val="24"/>
        </w:rPr>
        <w:t xml:space="preserve"> </w:t>
      </w:r>
      <w:r w:rsidR="005C3E90" w:rsidRPr="007E4472">
        <w:rPr>
          <w:rFonts w:cstheme="minorHAnsi"/>
          <w:color w:val="000000" w:themeColor="text1"/>
          <w:sz w:val="24"/>
          <w:szCs w:val="24"/>
        </w:rPr>
        <w:t>, P &lt; 0.001) and shorter median LOS (3.54</w:t>
      </w:r>
      <w:r w:rsidR="005260B2" w:rsidRPr="007E4472">
        <w:rPr>
          <w:rFonts w:cstheme="minorHAnsi"/>
          <w:color w:val="000000" w:themeColor="text1"/>
          <w:sz w:val="24"/>
          <w:szCs w:val="24"/>
        </w:rPr>
        <w:t xml:space="preserve"> days</w:t>
      </w:r>
      <w:r w:rsidR="000E6A64" w:rsidRPr="007E4472">
        <w:rPr>
          <w:rFonts w:cstheme="minorHAnsi"/>
          <w:color w:val="000000" w:themeColor="text1"/>
          <w:sz w:val="24"/>
          <w:szCs w:val="24"/>
        </w:rPr>
        <w:t>, IQR 2.34 – 6.20</w:t>
      </w:r>
      <w:r w:rsidR="00CA4ECB" w:rsidRPr="007E4472">
        <w:rPr>
          <w:rFonts w:cstheme="minorHAnsi"/>
          <w:color w:val="000000" w:themeColor="text1"/>
          <w:sz w:val="24"/>
          <w:szCs w:val="24"/>
        </w:rPr>
        <w:t xml:space="preserve"> </w:t>
      </w:r>
      <w:r w:rsidR="005C3E90" w:rsidRPr="007E4472">
        <w:rPr>
          <w:rFonts w:cstheme="minorHAnsi"/>
          <w:color w:val="000000" w:themeColor="text1"/>
          <w:sz w:val="24"/>
          <w:szCs w:val="24"/>
        </w:rPr>
        <w:t>vs. 4.83</w:t>
      </w:r>
      <w:r w:rsidR="000E6A64" w:rsidRPr="007E4472">
        <w:rPr>
          <w:rFonts w:cstheme="minorHAnsi"/>
          <w:color w:val="000000" w:themeColor="text1"/>
          <w:sz w:val="24"/>
          <w:szCs w:val="24"/>
        </w:rPr>
        <w:t>, IQR 3.56 – 7.92</w:t>
      </w:r>
      <w:r w:rsidR="005C3E90" w:rsidRPr="007E4472">
        <w:rPr>
          <w:rFonts w:cstheme="minorHAnsi"/>
          <w:color w:val="000000" w:themeColor="text1"/>
          <w:sz w:val="24"/>
          <w:szCs w:val="24"/>
        </w:rPr>
        <w:t xml:space="preserve">, P = 0.011). </w:t>
      </w:r>
      <w:r w:rsidR="00662BEF" w:rsidRPr="007E4472">
        <w:rPr>
          <w:rFonts w:cstheme="minorHAnsi"/>
          <w:color w:val="000000" w:themeColor="text1"/>
          <w:sz w:val="24"/>
          <w:szCs w:val="24"/>
        </w:rPr>
        <w:t>Mortality</w:t>
      </w:r>
      <w:r w:rsidR="00E31D76" w:rsidRPr="007E4472">
        <w:rPr>
          <w:rFonts w:cstheme="minorHAnsi"/>
          <w:color w:val="000000" w:themeColor="text1"/>
          <w:sz w:val="24"/>
          <w:szCs w:val="24"/>
        </w:rPr>
        <w:t xml:space="preserve"> (6.6% vs. 8.6%, P = 0.66) </w:t>
      </w:r>
      <w:r w:rsidR="00BF082C" w:rsidRPr="007E4472">
        <w:rPr>
          <w:rFonts w:cstheme="minorHAnsi"/>
          <w:color w:val="000000" w:themeColor="text1"/>
          <w:sz w:val="24"/>
          <w:szCs w:val="24"/>
        </w:rPr>
        <w:t xml:space="preserve">and </w:t>
      </w:r>
      <w:r w:rsidR="005260B2" w:rsidRPr="007E4472">
        <w:rPr>
          <w:rFonts w:cstheme="minorHAnsi"/>
          <w:color w:val="000000" w:themeColor="text1"/>
          <w:sz w:val="24"/>
          <w:szCs w:val="24"/>
        </w:rPr>
        <w:t>30-</w:t>
      </w:r>
      <w:r w:rsidR="00662BEF" w:rsidRPr="007E4472">
        <w:rPr>
          <w:rFonts w:cstheme="minorHAnsi"/>
          <w:color w:val="000000" w:themeColor="text1"/>
          <w:sz w:val="24"/>
          <w:szCs w:val="24"/>
        </w:rPr>
        <w:t xml:space="preserve">day readmission rates </w:t>
      </w:r>
      <w:r w:rsidR="00E31D76" w:rsidRPr="007E4472">
        <w:rPr>
          <w:rFonts w:cstheme="minorHAnsi"/>
          <w:color w:val="000000" w:themeColor="text1"/>
          <w:sz w:val="24"/>
          <w:szCs w:val="24"/>
        </w:rPr>
        <w:t xml:space="preserve">(8.5% vs. 15.5%, P = 0.16) </w:t>
      </w:r>
      <w:r w:rsidR="00662BEF" w:rsidRPr="007E4472">
        <w:rPr>
          <w:rFonts w:cstheme="minorHAnsi"/>
          <w:color w:val="000000" w:themeColor="text1"/>
          <w:sz w:val="24"/>
          <w:szCs w:val="24"/>
        </w:rPr>
        <w:t xml:space="preserve">did not differ significantly between </w:t>
      </w:r>
      <w:r w:rsidR="00E31D76" w:rsidRPr="007E4472">
        <w:rPr>
          <w:rFonts w:cstheme="minorHAnsi"/>
          <w:color w:val="000000" w:themeColor="text1"/>
          <w:sz w:val="24"/>
          <w:szCs w:val="24"/>
        </w:rPr>
        <w:t>PT-GT vs. not</w:t>
      </w:r>
      <w:r w:rsidR="00C10E3F" w:rsidRPr="007E4472">
        <w:rPr>
          <w:rFonts w:cstheme="minorHAnsi"/>
          <w:color w:val="000000" w:themeColor="text1"/>
          <w:sz w:val="24"/>
          <w:szCs w:val="24"/>
        </w:rPr>
        <w:t xml:space="preserve"> </w:t>
      </w:r>
      <w:r w:rsidR="00E31D76" w:rsidRPr="007E4472">
        <w:rPr>
          <w:rFonts w:cstheme="minorHAnsi"/>
          <w:color w:val="000000" w:themeColor="text1"/>
          <w:sz w:val="24"/>
          <w:szCs w:val="24"/>
        </w:rPr>
        <w:t>guided</w:t>
      </w:r>
      <w:r w:rsidR="00C10E3F" w:rsidRPr="007E4472">
        <w:rPr>
          <w:rFonts w:cstheme="minorHAnsi"/>
          <w:color w:val="000000" w:themeColor="text1"/>
          <w:sz w:val="24"/>
          <w:szCs w:val="24"/>
        </w:rPr>
        <w:t xml:space="preserve"> groups</w:t>
      </w:r>
      <w:r w:rsidR="00E31D76" w:rsidRPr="007E4472">
        <w:rPr>
          <w:rFonts w:cstheme="minorHAnsi"/>
          <w:color w:val="000000" w:themeColor="text1"/>
          <w:sz w:val="24"/>
          <w:szCs w:val="24"/>
        </w:rPr>
        <w:t>, respectively</w:t>
      </w:r>
      <w:r w:rsidR="00662BEF" w:rsidRPr="007E4472">
        <w:rPr>
          <w:rFonts w:cstheme="minorHAnsi"/>
          <w:color w:val="000000" w:themeColor="text1"/>
          <w:sz w:val="24"/>
          <w:szCs w:val="24"/>
        </w:rPr>
        <w:t xml:space="preserve">. </w:t>
      </w:r>
    </w:p>
    <w:p w:rsidR="00662BEF" w:rsidRPr="007E4472" w:rsidRDefault="00DD140D" w:rsidP="007E4472">
      <w:pPr>
        <w:spacing w:after="120" w:line="240" w:lineRule="auto"/>
        <w:rPr>
          <w:rFonts w:cstheme="minorHAnsi"/>
          <w:color w:val="000000" w:themeColor="text1"/>
          <w:sz w:val="24"/>
          <w:szCs w:val="24"/>
        </w:rPr>
      </w:pPr>
      <w:r w:rsidRPr="00DF5006">
        <w:rPr>
          <w:rFonts w:cstheme="minorHAnsi"/>
          <w:b/>
          <w:caps/>
          <w:color w:val="000000" w:themeColor="text1"/>
          <w:sz w:val="24"/>
          <w:szCs w:val="24"/>
        </w:rPr>
        <w:t>Conclusion</w:t>
      </w:r>
      <w:r w:rsidRPr="007E4472">
        <w:rPr>
          <w:rFonts w:cstheme="minorHAnsi"/>
          <w:b/>
          <w:color w:val="000000" w:themeColor="text1"/>
          <w:sz w:val="24"/>
          <w:szCs w:val="24"/>
        </w:rPr>
        <w:t>:</w:t>
      </w:r>
      <w:r w:rsidR="00FA4253" w:rsidRPr="007E4472">
        <w:rPr>
          <w:rFonts w:cstheme="minorHAnsi"/>
          <w:b/>
          <w:color w:val="000000" w:themeColor="text1"/>
          <w:sz w:val="24"/>
          <w:szCs w:val="24"/>
        </w:rPr>
        <w:t xml:space="preserve"> </w:t>
      </w:r>
      <w:r w:rsidR="00BF082C" w:rsidRPr="007E4472">
        <w:rPr>
          <w:rFonts w:cstheme="minorHAnsi"/>
          <w:color w:val="000000" w:themeColor="text1"/>
          <w:sz w:val="24"/>
          <w:szCs w:val="24"/>
        </w:rPr>
        <w:t xml:space="preserve">PCT </w:t>
      </w:r>
      <w:proofErr w:type="gramStart"/>
      <w:r w:rsidR="00BF082C" w:rsidRPr="007E4472">
        <w:rPr>
          <w:rFonts w:cstheme="minorHAnsi"/>
          <w:color w:val="000000" w:themeColor="text1"/>
          <w:sz w:val="24"/>
          <w:szCs w:val="24"/>
        </w:rPr>
        <w:t>was ordered</w:t>
      </w:r>
      <w:proofErr w:type="gramEnd"/>
      <w:r w:rsidR="00BF082C" w:rsidRPr="007E4472">
        <w:rPr>
          <w:rFonts w:cstheme="minorHAnsi"/>
          <w:color w:val="000000" w:themeColor="text1"/>
          <w:sz w:val="24"/>
          <w:szCs w:val="24"/>
        </w:rPr>
        <w:t xml:space="preserve"> in approximately half of our ED patients admitted with influenza.</w:t>
      </w:r>
      <w:r w:rsidR="00CA4ECB" w:rsidRPr="007E4472">
        <w:rPr>
          <w:rFonts w:cstheme="minorHAnsi"/>
          <w:color w:val="000000" w:themeColor="text1"/>
          <w:sz w:val="24"/>
          <w:szCs w:val="24"/>
        </w:rPr>
        <w:t xml:space="preserve"> </w:t>
      </w:r>
      <w:r w:rsidR="00BF082C" w:rsidRPr="007E4472">
        <w:rPr>
          <w:rFonts w:cstheme="minorHAnsi"/>
          <w:color w:val="000000" w:themeColor="text1"/>
          <w:sz w:val="24"/>
          <w:szCs w:val="24"/>
        </w:rPr>
        <w:t xml:space="preserve">When used correctly, </w:t>
      </w:r>
      <w:r w:rsidR="00662BEF" w:rsidRPr="007E4472">
        <w:rPr>
          <w:rFonts w:cstheme="minorHAnsi"/>
          <w:color w:val="000000" w:themeColor="text1"/>
          <w:sz w:val="24"/>
          <w:szCs w:val="24"/>
        </w:rPr>
        <w:t>PCT-</w:t>
      </w:r>
      <w:r w:rsidR="00BF082C" w:rsidRPr="007E4472">
        <w:rPr>
          <w:rFonts w:cstheme="minorHAnsi"/>
          <w:color w:val="000000" w:themeColor="text1"/>
          <w:sz w:val="24"/>
          <w:szCs w:val="24"/>
        </w:rPr>
        <w:t xml:space="preserve">GT was </w:t>
      </w:r>
      <w:r w:rsidR="00662BEF" w:rsidRPr="007E4472">
        <w:rPr>
          <w:rFonts w:cstheme="minorHAnsi"/>
          <w:color w:val="000000" w:themeColor="text1"/>
          <w:sz w:val="24"/>
          <w:szCs w:val="24"/>
        </w:rPr>
        <w:t xml:space="preserve">associated with </w:t>
      </w:r>
      <w:r w:rsidR="00BF082C" w:rsidRPr="007E4472">
        <w:rPr>
          <w:rFonts w:cstheme="minorHAnsi"/>
          <w:color w:val="000000" w:themeColor="text1"/>
          <w:sz w:val="24"/>
          <w:szCs w:val="24"/>
        </w:rPr>
        <w:t xml:space="preserve">reductions in antibiotic LOT and hospital LOS, </w:t>
      </w:r>
      <w:r w:rsidR="00074A68" w:rsidRPr="007E4472">
        <w:rPr>
          <w:rFonts w:cstheme="minorHAnsi"/>
          <w:color w:val="000000" w:themeColor="text1"/>
          <w:sz w:val="24"/>
          <w:szCs w:val="24"/>
        </w:rPr>
        <w:t>without compromising clinical outcomes.</w:t>
      </w:r>
      <w:r w:rsidR="00CA4ECB" w:rsidRPr="007E4472">
        <w:rPr>
          <w:rFonts w:cstheme="minorHAnsi"/>
          <w:color w:val="000000" w:themeColor="text1"/>
          <w:sz w:val="24"/>
          <w:szCs w:val="24"/>
        </w:rPr>
        <w:t xml:space="preserve"> </w:t>
      </w:r>
      <w:r w:rsidR="00BF082C" w:rsidRPr="007E4472">
        <w:rPr>
          <w:rFonts w:cstheme="minorHAnsi"/>
          <w:color w:val="000000" w:themeColor="text1"/>
          <w:sz w:val="24"/>
          <w:szCs w:val="24"/>
        </w:rPr>
        <w:t>Further education is justified to optimize utilization of PCT-GT for influenza patients in our ED.</w:t>
      </w:r>
    </w:p>
    <w:p w:rsidR="003D7ABB" w:rsidRPr="007E4472" w:rsidRDefault="003D7ABB" w:rsidP="007E4472">
      <w:pPr>
        <w:spacing w:after="120" w:line="240" w:lineRule="auto"/>
        <w:rPr>
          <w:rFonts w:cstheme="minorHAnsi"/>
          <w:b/>
          <w:color w:val="000000" w:themeColor="text1"/>
          <w:sz w:val="24"/>
          <w:szCs w:val="24"/>
        </w:rPr>
      </w:pPr>
      <w:bookmarkStart w:id="0" w:name="_GoBack"/>
      <w:bookmarkEnd w:id="0"/>
    </w:p>
    <w:p w:rsidR="007E4472" w:rsidRPr="007E4472" w:rsidRDefault="007E4472" w:rsidP="007E4472">
      <w:pPr>
        <w:spacing w:after="120" w:line="240" w:lineRule="auto"/>
        <w:rPr>
          <w:rFonts w:cstheme="minorHAnsi"/>
          <w:b/>
          <w:color w:val="000000" w:themeColor="text1"/>
          <w:sz w:val="24"/>
          <w:szCs w:val="24"/>
        </w:rPr>
      </w:pPr>
      <w:r w:rsidRPr="007E4472">
        <w:rPr>
          <w:rFonts w:cstheme="minorHAnsi"/>
          <w:b/>
          <w:color w:val="000000" w:themeColor="text1"/>
          <w:sz w:val="24"/>
          <w:szCs w:val="24"/>
        </w:rPr>
        <w:t xml:space="preserve">Evaluating the Impact of Antibiotic Prophylaxis on the Microbiology and Incidence of </w:t>
      </w:r>
      <w:proofErr w:type="spellStart"/>
      <w:r w:rsidRPr="007E4472">
        <w:rPr>
          <w:rFonts w:cstheme="minorHAnsi"/>
          <w:b/>
          <w:color w:val="000000" w:themeColor="text1"/>
          <w:sz w:val="24"/>
          <w:szCs w:val="24"/>
        </w:rPr>
        <w:t>Ventriculitis</w:t>
      </w:r>
      <w:proofErr w:type="spellEnd"/>
      <w:r w:rsidRPr="007E4472">
        <w:rPr>
          <w:rFonts w:cstheme="minorHAnsi"/>
          <w:b/>
          <w:color w:val="000000" w:themeColor="text1"/>
          <w:sz w:val="24"/>
          <w:szCs w:val="24"/>
        </w:rPr>
        <w:t xml:space="preserve"> in Patients with External Ventricular Drains </w:t>
      </w:r>
    </w:p>
    <w:p w:rsidR="007E4472" w:rsidRPr="007E4472" w:rsidRDefault="007E4472" w:rsidP="007E4472">
      <w:pPr>
        <w:spacing w:after="0" w:line="240" w:lineRule="auto"/>
        <w:rPr>
          <w:rFonts w:cstheme="minorHAnsi"/>
          <w:color w:val="000000" w:themeColor="text1"/>
          <w:sz w:val="24"/>
          <w:szCs w:val="24"/>
        </w:rPr>
      </w:pPr>
      <w:proofErr w:type="gramStart"/>
      <w:r w:rsidRPr="007E4472">
        <w:rPr>
          <w:rFonts w:cstheme="minorHAnsi"/>
          <w:b/>
          <w:bCs/>
          <w:color w:val="000000" w:themeColor="text1"/>
          <w:sz w:val="24"/>
          <w:szCs w:val="24"/>
        </w:rPr>
        <w:t>SUBJECT CATEGORY:</w:t>
      </w:r>
      <w:r w:rsidRPr="007E4472">
        <w:rPr>
          <w:rFonts w:cstheme="minorHAnsi"/>
          <w:color w:val="000000" w:themeColor="text1"/>
          <w:sz w:val="24"/>
          <w:szCs w:val="24"/>
        </w:rPr>
        <w:t xml:space="preserve"> N. Healthcare Epidemiology and Prevention </w:t>
      </w:r>
      <w:r w:rsidRPr="007E4472">
        <w:rPr>
          <w:rFonts w:cstheme="minorHAnsi"/>
          <w:color w:val="000000" w:themeColor="text1"/>
          <w:sz w:val="24"/>
          <w:szCs w:val="24"/>
        </w:rPr>
        <w:sym w:font="Wingdings" w:char="F0E0"/>
      </w:r>
      <w:r w:rsidRPr="007E4472">
        <w:rPr>
          <w:rFonts w:cstheme="minorHAnsi"/>
          <w:color w:val="000000" w:themeColor="text1"/>
          <w:sz w:val="24"/>
          <w:szCs w:val="24"/>
        </w:rPr>
        <w:t xml:space="preserve"> N4.</w:t>
      </w:r>
      <w:proofErr w:type="gramEnd"/>
      <w:r w:rsidRPr="007E4472">
        <w:rPr>
          <w:rFonts w:cstheme="minorHAnsi"/>
          <w:color w:val="000000" w:themeColor="text1"/>
          <w:sz w:val="24"/>
          <w:szCs w:val="24"/>
        </w:rPr>
        <w:t xml:space="preserve"> </w:t>
      </w:r>
      <w:proofErr w:type="gramStart"/>
      <w:r w:rsidRPr="007E4472">
        <w:rPr>
          <w:rFonts w:cstheme="minorHAnsi"/>
          <w:color w:val="000000" w:themeColor="text1"/>
          <w:sz w:val="24"/>
          <w:szCs w:val="24"/>
        </w:rPr>
        <w:t>Device-related HAIs (CLABSI, CAUTI, VAP)</w:t>
      </w:r>
      <w:r>
        <w:rPr>
          <w:rFonts w:cstheme="minorHAnsi"/>
          <w:color w:val="000000" w:themeColor="text1"/>
          <w:sz w:val="24"/>
          <w:szCs w:val="24"/>
        </w:rPr>
        <w:t xml:space="preserve"> </w:t>
      </w:r>
      <w:r w:rsidRPr="007E4472">
        <w:rPr>
          <w:rFonts w:cstheme="minorHAnsi"/>
          <w:color w:val="000000" w:themeColor="text1"/>
          <w:sz w:val="24"/>
          <w:szCs w:val="24"/>
        </w:rPr>
        <w:t xml:space="preserve">C. Clinical Infectious Disease </w:t>
      </w:r>
      <w:r w:rsidRPr="007E4472">
        <w:rPr>
          <w:rFonts w:cstheme="minorHAnsi"/>
          <w:color w:val="000000" w:themeColor="text1"/>
          <w:sz w:val="24"/>
          <w:szCs w:val="24"/>
        </w:rPr>
        <w:sym w:font="Wingdings" w:char="F0E0"/>
      </w:r>
      <w:r w:rsidRPr="007E4472">
        <w:rPr>
          <w:rFonts w:cstheme="minorHAnsi"/>
          <w:color w:val="000000" w:themeColor="text1"/>
          <w:sz w:val="24"/>
          <w:szCs w:val="24"/>
        </w:rPr>
        <w:t xml:space="preserve"> C6.</w:t>
      </w:r>
      <w:proofErr w:type="gramEnd"/>
      <w:r w:rsidRPr="007E4472">
        <w:rPr>
          <w:rFonts w:cstheme="minorHAnsi"/>
          <w:color w:val="000000" w:themeColor="text1"/>
          <w:sz w:val="24"/>
          <w:szCs w:val="24"/>
        </w:rPr>
        <w:t xml:space="preserve"> CNS Infection</w:t>
      </w:r>
    </w:p>
    <w:p w:rsidR="007E4472" w:rsidRPr="007E4472" w:rsidRDefault="007E4472" w:rsidP="007E4472">
      <w:pPr>
        <w:spacing w:after="0" w:line="240" w:lineRule="auto"/>
        <w:rPr>
          <w:rFonts w:cstheme="minorHAnsi"/>
          <w:color w:val="000000" w:themeColor="text1"/>
          <w:sz w:val="24"/>
          <w:szCs w:val="24"/>
        </w:rPr>
      </w:pPr>
      <w:r w:rsidRPr="007E4472">
        <w:rPr>
          <w:rFonts w:cstheme="minorHAnsi"/>
          <w:b/>
          <w:bCs/>
          <w:color w:val="000000" w:themeColor="text1"/>
          <w:sz w:val="24"/>
          <w:szCs w:val="24"/>
        </w:rPr>
        <w:t>KEY WORDS:</w:t>
      </w:r>
      <w:r w:rsidRPr="007E4472">
        <w:rPr>
          <w:rFonts w:cstheme="minorHAnsi"/>
          <w:color w:val="000000" w:themeColor="text1"/>
          <w:sz w:val="24"/>
          <w:szCs w:val="24"/>
        </w:rPr>
        <w:t xml:space="preserve"> CNS, Prophylaxis, Neurosurgery</w:t>
      </w:r>
    </w:p>
    <w:p w:rsidR="007E4472" w:rsidRPr="007E4472" w:rsidRDefault="007E4472" w:rsidP="00DF5006">
      <w:pPr>
        <w:spacing w:after="120" w:line="240" w:lineRule="auto"/>
        <w:rPr>
          <w:rFonts w:cstheme="minorHAnsi"/>
          <w:color w:val="000000" w:themeColor="text1"/>
          <w:sz w:val="24"/>
          <w:szCs w:val="24"/>
        </w:rPr>
      </w:pPr>
      <w:r w:rsidRPr="007E4472">
        <w:rPr>
          <w:rFonts w:cstheme="minorHAnsi"/>
          <w:b/>
          <w:bCs/>
          <w:color w:val="000000" w:themeColor="text1"/>
          <w:sz w:val="24"/>
          <w:szCs w:val="24"/>
        </w:rPr>
        <w:t>AUTHORS:</w:t>
      </w:r>
      <w:r w:rsidRPr="007E4472">
        <w:rPr>
          <w:rFonts w:cstheme="minorHAnsi"/>
          <w:color w:val="000000" w:themeColor="text1"/>
          <w:sz w:val="24"/>
          <w:szCs w:val="24"/>
        </w:rPr>
        <w:t xml:space="preserve"> </w:t>
      </w:r>
      <w:r w:rsidRPr="007E4472">
        <w:rPr>
          <w:rFonts w:cstheme="minorHAnsi"/>
          <w:color w:val="000000" w:themeColor="text1"/>
          <w:sz w:val="24"/>
          <w:szCs w:val="24"/>
        </w:rPr>
        <w:t>Presenting Author</w:t>
      </w:r>
      <w:r>
        <w:rPr>
          <w:rFonts w:cstheme="minorHAnsi"/>
          <w:color w:val="000000" w:themeColor="text1"/>
          <w:sz w:val="24"/>
          <w:szCs w:val="24"/>
        </w:rPr>
        <w:t>-</w:t>
      </w:r>
      <w:r w:rsidRPr="007E4472">
        <w:rPr>
          <w:rFonts w:cstheme="minorHAnsi"/>
          <w:color w:val="000000" w:themeColor="text1"/>
          <w:sz w:val="24"/>
          <w:szCs w:val="24"/>
        </w:rPr>
        <w:t xml:space="preserve">Jack McCormick, </w:t>
      </w:r>
      <w:proofErr w:type="spellStart"/>
      <w:r w:rsidRPr="007E4472">
        <w:rPr>
          <w:rFonts w:cstheme="minorHAnsi"/>
          <w:color w:val="000000" w:themeColor="text1"/>
          <w:sz w:val="24"/>
          <w:szCs w:val="24"/>
        </w:rPr>
        <w:t>PharmD</w:t>
      </w:r>
      <w:proofErr w:type="spellEnd"/>
      <w:r>
        <w:rPr>
          <w:rFonts w:cstheme="minorHAnsi"/>
          <w:color w:val="000000" w:themeColor="text1"/>
          <w:sz w:val="24"/>
          <w:szCs w:val="24"/>
        </w:rPr>
        <w:t xml:space="preserve"> </w:t>
      </w:r>
      <w:r w:rsidRPr="007E4472">
        <w:rPr>
          <w:rFonts w:cstheme="minorHAnsi"/>
          <w:color w:val="000000" w:themeColor="text1"/>
          <w:sz w:val="24"/>
          <w:szCs w:val="24"/>
          <w:vertAlign w:val="superscript"/>
        </w:rPr>
        <w:t>1</w:t>
      </w:r>
      <w:r>
        <w:rPr>
          <w:rFonts w:cstheme="minorHAnsi"/>
          <w:color w:val="000000" w:themeColor="text1"/>
          <w:sz w:val="24"/>
          <w:szCs w:val="24"/>
        </w:rPr>
        <w:t>;</w:t>
      </w:r>
      <w:r w:rsidRPr="007E4472">
        <w:rPr>
          <w:rFonts w:cstheme="minorHAnsi"/>
          <w:color w:val="000000" w:themeColor="text1"/>
          <w:sz w:val="24"/>
          <w:szCs w:val="24"/>
        </w:rPr>
        <w:t xml:space="preserve"> </w:t>
      </w:r>
      <w:r w:rsidRPr="007E4472">
        <w:rPr>
          <w:rFonts w:cstheme="minorHAnsi"/>
          <w:color w:val="000000" w:themeColor="text1"/>
          <w:sz w:val="24"/>
          <w:szCs w:val="24"/>
        </w:rPr>
        <w:t>Dayna McManus, PharmD</w:t>
      </w:r>
      <w:r w:rsidRPr="007E4472">
        <w:rPr>
          <w:rFonts w:cstheme="minorHAnsi"/>
          <w:color w:val="000000" w:themeColor="text1"/>
          <w:sz w:val="24"/>
          <w:szCs w:val="24"/>
          <w:vertAlign w:val="superscript"/>
        </w:rPr>
        <w:t>1</w:t>
      </w:r>
      <w:r>
        <w:rPr>
          <w:rFonts w:cstheme="minorHAnsi"/>
          <w:color w:val="000000" w:themeColor="text1"/>
          <w:sz w:val="24"/>
          <w:szCs w:val="24"/>
        </w:rPr>
        <w:t>;</w:t>
      </w:r>
      <w:r w:rsidRPr="007E4472">
        <w:rPr>
          <w:rFonts w:cstheme="minorHAnsi"/>
          <w:color w:val="000000" w:themeColor="text1"/>
          <w:sz w:val="24"/>
          <w:szCs w:val="24"/>
        </w:rPr>
        <w:t xml:space="preserve"> </w:t>
      </w:r>
      <w:r w:rsidRPr="007E4472">
        <w:rPr>
          <w:rFonts w:cstheme="minorHAnsi"/>
          <w:color w:val="000000" w:themeColor="text1"/>
          <w:sz w:val="24"/>
          <w:szCs w:val="24"/>
        </w:rPr>
        <w:t>Abdalla A. Ammar, PharmD</w:t>
      </w:r>
      <w:r w:rsidRPr="007E4472">
        <w:rPr>
          <w:rFonts w:cstheme="minorHAnsi"/>
          <w:color w:val="000000" w:themeColor="text1"/>
          <w:sz w:val="24"/>
          <w:szCs w:val="24"/>
          <w:vertAlign w:val="superscript"/>
        </w:rPr>
        <w:t>1</w:t>
      </w:r>
      <w:r>
        <w:rPr>
          <w:rFonts w:cstheme="minorHAnsi"/>
          <w:color w:val="000000" w:themeColor="text1"/>
          <w:sz w:val="24"/>
          <w:szCs w:val="24"/>
        </w:rPr>
        <w:t>;</w:t>
      </w:r>
      <w:r w:rsidRPr="007E4472">
        <w:rPr>
          <w:rFonts w:cstheme="minorHAnsi"/>
          <w:color w:val="000000" w:themeColor="text1"/>
          <w:sz w:val="24"/>
          <w:szCs w:val="24"/>
        </w:rPr>
        <w:t xml:space="preserve">Jeffrey E. </w:t>
      </w:r>
      <w:proofErr w:type="spellStart"/>
      <w:r w:rsidRPr="007E4472">
        <w:rPr>
          <w:rFonts w:cstheme="minorHAnsi"/>
          <w:color w:val="000000" w:themeColor="text1"/>
          <w:sz w:val="24"/>
          <w:szCs w:val="24"/>
        </w:rPr>
        <w:t>Topal</w:t>
      </w:r>
      <w:proofErr w:type="spellEnd"/>
      <w:r w:rsidRPr="007E4472">
        <w:rPr>
          <w:rFonts w:cstheme="minorHAnsi"/>
          <w:color w:val="000000" w:themeColor="text1"/>
          <w:sz w:val="24"/>
          <w:szCs w:val="24"/>
        </w:rPr>
        <w:t>, MD</w:t>
      </w:r>
      <w:r w:rsidRPr="007E4472">
        <w:rPr>
          <w:rFonts w:cstheme="minorHAnsi"/>
          <w:color w:val="000000" w:themeColor="text1"/>
          <w:sz w:val="24"/>
          <w:szCs w:val="24"/>
          <w:vertAlign w:val="superscript"/>
        </w:rPr>
        <w:t>1,2</w:t>
      </w:r>
      <w:r w:rsidR="00DF5006">
        <w:rPr>
          <w:rFonts w:cstheme="minorHAnsi"/>
          <w:color w:val="000000" w:themeColor="text1"/>
          <w:sz w:val="24"/>
          <w:szCs w:val="24"/>
        </w:rPr>
        <w:t xml:space="preserve"> Affiliations: </w:t>
      </w:r>
      <w:r w:rsidRPr="007E4472">
        <w:rPr>
          <w:rFonts w:cstheme="minorHAnsi"/>
          <w:color w:val="000000" w:themeColor="text1"/>
          <w:sz w:val="24"/>
          <w:szCs w:val="24"/>
          <w:vertAlign w:val="superscript"/>
        </w:rPr>
        <w:t>1</w:t>
      </w:r>
      <w:r w:rsidRPr="007E4472">
        <w:rPr>
          <w:rFonts w:cstheme="minorHAnsi"/>
          <w:b/>
          <w:bCs/>
          <w:color w:val="000000" w:themeColor="text1"/>
          <w:sz w:val="24"/>
          <w:szCs w:val="24"/>
        </w:rPr>
        <w:t xml:space="preserve"> </w:t>
      </w:r>
      <w:r w:rsidRPr="007E4472">
        <w:rPr>
          <w:rFonts w:cstheme="minorHAnsi"/>
          <w:bCs/>
          <w:color w:val="000000" w:themeColor="text1"/>
          <w:sz w:val="24"/>
          <w:szCs w:val="24"/>
        </w:rPr>
        <w:t>Department of Pharmacy Services, Yale New Haven Hospital, New Haven, CT, USA</w:t>
      </w:r>
      <w:r w:rsidR="00DF5006">
        <w:rPr>
          <w:rFonts w:cstheme="minorHAnsi"/>
          <w:bCs/>
          <w:color w:val="000000" w:themeColor="text1"/>
          <w:sz w:val="24"/>
          <w:szCs w:val="24"/>
        </w:rPr>
        <w:t xml:space="preserve"> </w:t>
      </w:r>
      <w:r w:rsidRPr="007E4472">
        <w:rPr>
          <w:rFonts w:cstheme="minorHAnsi"/>
          <w:bCs/>
          <w:color w:val="000000" w:themeColor="text1"/>
          <w:sz w:val="24"/>
          <w:szCs w:val="24"/>
          <w:vertAlign w:val="superscript"/>
        </w:rPr>
        <w:t xml:space="preserve">2 </w:t>
      </w:r>
      <w:r w:rsidRPr="007E4472">
        <w:rPr>
          <w:rFonts w:cstheme="minorHAnsi"/>
          <w:bCs/>
          <w:color w:val="000000" w:themeColor="text1"/>
          <w:sz w:val="24"/>
          <w:szCs w:val="24"/>
        </w:rPr>
        <w:t>Yale School of Medicine, Section of Infectious Diseases, New Haven, CT, USA</w:t>
      </w:r>
    </w:p>
    <w:p w:rsidR="007E4472" w:rsidRPr="007E4472" w:rsidRDefault="007E4472" w:rsidP="007E4472">
      <w:pPr>
        <w:spacing w:after="120" w:line="240" w:lineRule="auto"/>
        <w:rPr>
          <w:rFonts w:cstheme="minorHAnsi"/>
          <w:bCs/>
          <w:color w:val="000000" w:themeColor="text1"/>
          <w:sz w:val="24"/>
          <w:szCs w:val="24"/>
        </w:rPr>
      </w:pPr>
      <w:r w:rsidRPr="007E4472">
        <w:rPr>
          <w:rFonts w:cstheme="minorHAnsi"/>
          <w:b/>
          <w:bCs/>
          <w:color w:val="000000" w:themeColor="text1"/>
          <w:sz w:val="24"/>
          <w:szCs w:val="24"/>
        </w:rPr>
        <w:t>BACKGROUND:</w:t>
      </w:r>
      <w:r w:rsidRPr="007E4472">
        <w:rPr>
          <w:rFonts w:cstheme="minorHAnsi"/>
          <w:bCs/>
          <w:color w:val="000000" w:themeColor="text1"/>
          <w:sz w:val="24"/>
          <w:szCs w:val="24"/>
        </w:rPr>
        <w:t xml:space="preserve"> External ventricular drains (EVDs) </w:t>
      </w:r>
      <w:proofErr w:type="gramStart"/>
      <w:r w:rsidRPr="007E4472">
        <w:rPr>
          <w:rFonts w:cstheme="minorHAnsi"/>
          <w:bCs/>
          <w:color w:val="000000" w:themeColor="text1"/>
          <w:sz w:val="24"/>
          <w:szCs w:val="24"/>
        </w:rPr>
        <w:t>are frequently used</w:t>
      </w:r>
      <w:proofErr w:type="gramEnd"/>
      <w:r w:rsidRPr="007E4472">
        <w:rPr>
          <w:rFonts w:cstheme="minorHAnsi"/>
          <w:bCs/>
          <w:color w:val="000000" w:themeColor="text1"/>
          <w:sz w:val="24"/>
          <w:szCs w:val="24"/>
        </w:rPr>
        <w:t xml:space="preserve"> in acute brain injuries for continuous intracranial pressure monitoring and cerebrospinal (CSF) fluid diversion. EVDs are associated with a 0-22% risk of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The evidence for antibiotic prophylaxis (AP) for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prevention is not robust. This study aimed to delineate the incidence of EVD related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and causative organisms in patients receiving AP. </w:t>
      </w:r>
    </w:p>
    <w:p w:rsidR="007E4472" w:rsidRPr="007E4472" w:rsidRDefault="007E4472" w:rsidP="007E4472">
      <w:pPr>
        <w:spacing w:after="120" w:line="240" w:lineRule="auto"/>
        <w:rPr>
          <w:rFonts w:cstheme="minorHAnsi"/>
          <w:bCs/>
          <w:color w:val="000000" w:themeColor="text1"/>
          <w:sz w:val="24"/>
          <w:szCs w:val="24"/>
        </w:rPr>
      </w:pPr>
      <w:r w:rsidRPr="007E4472">
        <w:rPr>
          <w:rFonts w:cstheme="minorHAnsi"/>
          <w:b/>
          <w:bCs/>
          <w:color w:val="000000" w:themeColor="text1"/>
          <w:sz w:val="24"/>
          <w:szCs w:val="24"/>
        </w:rPr>
        <w:t>METHODS:</w:t>
      </w:r>
      <w:r w:rsidRPr="007E4472">
        <w:rPr>
          <w:rFonts w:cstheme="minorHAnsi"/>
          <w:bCs/>
          <w:color w:val="000000" w:themeColor="text1"/>
          <w:sz w:val="24"/>
          <w:szCs w:val="24"/>
        </w:rPr>
        <w:t xml:space="preserve"> A retrospective chart review from 2013 to 2018 at Yale New Haven Hospital </w:t>
      </w:r>
      <w:proofErr w:type="gramStart"/>
      <w:r w:rsidRPr="007E4472">
        <w:rPr>
          <w:rFonts w:cstheme="minorHAnsi"/>
          <w:bCs/>
          <w:color w:val="000000" w:themeColor="text1"/>
          <w:sz w:val="24"/>
          <w:szCs w:val="24"/>
        </w:rPr>
        <w:t>was performed</w:t>
      </w:r>
      <w:proofErr w:type="gramEnd"/>
      <w:r w:rsidRPr="007E4472">
        <w:rPr>
          <w:rFonts w:cstheme="minorHAnsi"/>
          <w:bCs/>
          <w:color w:val="000000" w:themeColor="text1"/>
          <w:sz w:val="24"/>
          <w:szCs w:val="24"/>
        </w:rPr>
        <w:t xml:space="preserve">. Patients were included if ≥18 years of age, admitted to the neurosciences intensive care unit (ICU), and had AP with </w:t>
      </w:r>
      <w:proofErr w:type="spellStart"/>
      <w:r w:rsidRPr="007E4472">
        <w:rPr>
          <w:rFonts w:cstheme="minorHAnsi"/>
          <w:bCs/>
          <w:color w:val="000000" w:themeColor="text1"/>
          <w:sz w:val="24"/>
          <w:szCs w:val="24"/>
        </w:rPr>
        <w:t>cefazolin</w:t>
      </w:r>
      <w:proofErr w:type="spellEnd"/>
      <w:r w:rsidRPr="007E4472">
        <w:rPr>
          <w:rFonts w:cstheme="minorHAnsi"/>
          <w:bCs/>
          <w:color w:val="000000" w:themeColor="text1"/>
          <w:sz w:val="24"/>
          <w:szCs w:val="24"/>
        </w:rPr>
        <w:t xml:space="preserve">, </w:t>
      </w:r>
      <w:proofErr w:type="spellStart"/>
      <w:r w:rsidRPr="007E4472">
        <w:rPr>
          <w:rFonts w:cstheme="minorHAnsi"/>
          <w:bCs/>
          <w:color w:val="000000" w:themeColor="text1"/>
          <w:sz w:val="24"/>
          <w:szCs w:val="24"/>
        </w:rPr>
        <w:t>vancomycin</w:t>
      </w:r>
      <w:proofErr w:type="spellEnd"/>
      <w:r w:rsidRPr="007E4472">
        <w:rPr>
          <w:rFonts w:cstheme="minorHAnsi"/>
          <w:bCs/>
          <w:color w:val="000000" w:themeColor="text1"/>
          <w:sz w:val="24"/>
          <w:szCs w:val="24"/>
        </w:rPr>
        <w:t xml:space="preserve">, </w:t>
      </w:r>
      <w:proofErr w:type="spellStart"/>
      <w:r w:rsidRPr="007E4472">
        <w:rPr>
          <w:rFonts w:cstheme="minorHAnsi"/>
          <w:bCs/>
          <w:color w:val="000000" w:themeColor="text1"/>
          <w:sz w:val="24"/>
          <w:szCs w:val="24"/>
        </w:rPr>
        <w:t>sulfamethoxazole</w:t>
      </w:r>
      <w:proofErr w:type="spellEnd"/>
      <w:r w:rsidRPr="007E4472">
        <w:rPr>
          <w:rFonts w:cstheme="minorHAnsi"/>
          <w:bCs/>
          <w:color w:val="000000" w:themeColor="text1"/>
          <w:sz w:val="24"/>
          <w:szCs w:val="24"/>
        </w:rPr>
        <w:t>/</w:t>
      </w:r>
      <w:proofErr w:type="spellStart"/>
      <w:r w:rsidRPr="007E4472">
        <w:rPr>
          <w:rFonts w:cstheme="minorHAnsi"/>
          <w:bCs/>
          <w:color w:val="000000" w:themeColor="text1"/>
          <w:sz w:val="24"/>
          <w:szCs w:val="24"/>
        </w:rPr>
        <w:t>trimethoprim</w:t>
      </w:r>
      <w:proofErr w:type="spellEnd"/>
      <w:r w:rsidRPr="007E4472">
        <w:rPr>
          <w:rFonts w:cstheme="minorHAnsi"/>
          <w:bCs/>
          <w:color w:val="000000" w:themeColor="text1"/>
          <w:sz w:val="24"/>
          <w:szCs w:val="24"/>
        </w:rPr>
        <w:t xml:space="preserve">, or </w:t>
      </w:r>
      <w:proofErr w:type="spellStart"/>
      <w:r w:rsidRPr="007E4472">
        <w:rPr>
          <w:rFonts w:cstheme="minorHAnsi"/>
          <w:bCs/>
          <w:color w:val="000000" w:themeColor="text1"/>
          <w:sz w:val="24"/>
          <w:szCs w:val="24"/>
        </w:rPr>
        <w:t>clindamycin</w:t>
      </w:r>
      <w:proofErr w:type="spellEnd"/>
      <w:r w:rsidRPr="007E4472">
        <w:rPr>
          <w:rFonts w:cstheme="minorHAnsi"/>
          <w:bCs/>
          <w:color w:val="000000" w:themeColor="text1"/>
          <w:sz w:val="24"/>
          <w:szCs w:val="24"/>
        </w:rPr>
        <w:t xml:space="preserve">. Patients </w:t>
      </w:r>
      <w:proofErr w:type="gramStart"/>
      <w:r w:rsidRPr="007E4472">
        <w:rPr>
          <w:rFonts w:cstheme="minorHAnsi"/>
          <w:bCs/>
          <w:color w:val="000000" w:themeColor="text1"/>
          <w:sz w:val="24"/>
          <w:szCs w:val="24"/>
        </w:rPr>
        <w:t>were excluded</w:t>
      </w:r>
      <w:proofErr w:type="gramEnd"/>
      <w:r w:rsidRPr="007E4472">
        <w:rPr>
          <w:rFonts w:cstheme="minorHAnsi"/>
          <w:bCs/>
          <w:color w:val="000000" w:themeColor="text1"/>
          <w:sz w:val="24"/>
          <w:szCs w:val="24"/>
        </w:rPr>
        <w:t xml:space="preserve"> if they had a diagnosis of meningitis or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prior to EVD placement, on multiple agents for AP, on antibiotics for indications other than AP, CSF leak, or skull fracture. The primary endpoint was the incidence of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per 1000 EVD-days. Secondary endpoints were causative organisms of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EVD duration, 30-day mortality, ICU length of stay (LOS), and hospital LOS. </w:t>
      </w:r>
    </w:p>
    <w:p w:rsidR="007E4472" w:rsidRPr="007E4472" w:rsidRDefault="007E4472" w:rsidP="007E4472">
      <w:pPr>
        <w:spacing w:after="120" w:line="240" w:lineRule="auto"/>
        <w:rPr>
          <w:rFonts w:cstheme="minorHAnsi"/>
          <w:bCs/>
          <w:color w:val="000000" w:themeColor="text1"/>
          <w:sz w:val="24"/>
          <w:szCs w:val="24"/>
        </w:rPr>
      </w:pPr>
      <w:r w:rsidRPr="007E4472">
        <w:rPr>
          <w:rFonts w:cstheme="minorHAnsi"/>
          <w:b/>
          <w:bCs/>
          <w:color w:val="000000" w:themeColor="text1"/>
          <w:sz w:val="24"/>
          <w:szCs w:val="24"/>
        </w:rPr>
        <w:t>RESULTS:</w:t>
      </w:r>
      <w:r w:rsidRPr="007E4472">
        <w:rPr>
          <w:rFonts w:cstheme="minorHAnsi"/>
          <w:bCs/>
          <w:color w:val="000000" w:themeColor="text1"/>
          <w:sz w:val="24"/>
          <w:szCs w:val="24"/>
        </w:rPr>
        <w:t xml:space="preserve"> Five hundred ninety-nine patients </w:t>
      </w:r>
      <w:proofErr w:type="gramStart"/>
      <w:r w:rsidRPr="007E4472">
        <w:rPr>
          <w:rFonts w:cstheme="minorHAnsi"/>
          <w:bCs/>
          <w:color w:val="000000" w:themeColor="text1"/>
          <w:sz w:val="24"/>
          <w:szCs w:val="24"/>
        </w:rPr>
        <w:t>were reviewed</w:t>
      </w:r>
      <w:proofErr w:type="gramEnd"/>
      <w:r w:rsidRPr="007E4472">
        <w:rPr>
          <w:rFonts w:cstheme="minorHAnsi"/>
          <w:bCs/>
          <w:color w:val="000000" w:themeColor="text1"/>
          <w:sz w:val="24"/>
          <w:szCs w:val="24"/>
        </w:rPr>
        <w:t xml:space="preserve"> and 249 patients were included. Baseline demographics </w:t>
      </w:r>
      <w:proofErr w:type="gramStart"/>
      <w:r w:rsidRPr="007E4472">
        <w:rPr>
          <w:rFonts w:cstheme="minorHAnsi"/>
          <w:bCs/>
          <w:color w:val="000000" w:themeColor="text1"/>
          <w:sz w:val="24"/>
          <w:szCs w:val="24"/>
        </w:rPr>
        <w:t>are noted</w:t>
      </w:r>
      <w:proofErr w:type="gramEnd"/>
      <w:r w:rsidRPr="007E4472">
        <w:rPr>
          <w:rFonts w:cstheme="minorHAnsi"/>
          <w:bCs/>
          <w:color w:val="000000" w:themeColor="text1"/>
          <w:sz w:val="24"/>
          <w:szCs w:val="24"/>
        </w:rPr>
        <w:t xml:space="preserve"> in Table 1. </w:t>
      </w:r>
      <w:proofErr w:type="spellStart"/>
      <w:r w:rsidRPr="007E4472">
        <w:rPr>
          <w:rFonts w:cstheme="minorHAnsi"/>
          <w:bCs/>
          <w:color w:val="000000" w:themeColor="text1"/>
          <w:sz w:val="24"/>
          <w:szCs w:val="24"/>
        </w:rPr>
        <w:t>Cefazolin</w:t>
      </w:r>
      <w:proofErr w:type="spellEnd"/>
      <w:r w:rsidRPr="007E4472">
        <w:rPr>
          <w:rFonts w:cstheme="minorHAnsi"/>
          <w:bCs/>
          <w:color w:val="000000" w:themeColor="text1"/>
          <w:sz w:val="24"/>
          <w:szCs w:val="24"/>
        </w:rPr>
        <w:t xml:space="preserve"> was the most common agent for AP (98%). There were </w:t>
      </w:r>
      <w:proofErr w:type="gramStart"/>
      <w:r w:rsidRPr="007E4472">
        <w:rPr>
          <w:rFonts w:cstheme="minorHAnsi"/>
          <w:bCs/>
          <w:color w:val="000000" w:themeColor="text1"/>
          <w:sz w:val="24"/>
          <w:szCs w:val="24"/>
        </w:rPr>
        <w:t>7</w:t>
      </w:r>
      <w:proofErr w:type="gramEnd"/>
      <w:r w:rsidRPr="007E4472">
        <w:rPr>
          <w:rFonts w:cstheme="minorHAnsi"/>
          <w:bCs/>
          <w:color w:val="000000" w:themeColor="text1"/>
          <w:sz w:val="24"/>
          <w:szCs w:val="24"/>
        </w:rPr>
        <w:t xml:space="preserve"> cases of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with an incidence rate of 2.8% (4 infections per 1000 EVD-days). All of the causative organisms were resistant to the prophylactic agents administered (Table 2). Patients with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had a significantly longer duration of EVD placement (10 ± 3 vs. 7 ± 6 days, p=0.03), hospital LOS (30 ± 19 days vs. 15 ± 12, p=0.04), ICU LOS (22 ± 14 vs. 10 ± 7, p=0.03). Two patients with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(28%) died within 30 days of admission compared to 46 patients without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(19%, p=0.53) (Table 3). </w:t>
      </w:r>
    </w:p>
    <w:p w:rsidR="007E4472" w:rsidRPr="007E4472" w:rsidRDefault="007E4472" w:rsidP="007E4472">
      <w:pPr>
        <w:spacing w:after="120" w:line="240" w:lineRule="auto"/>
        <w:rPr>
          <w:rFonts w:cstheme="minorHAnsi"/>
          <w:color w:val="000000" w:themeColor="text1"/>
          <w:sz w:val="24"/>
          <w:szCs w:val="24"/>
        </w:rPr>
      </w:pPr>
      <w:r w:rsidRPr="007E4472">
        <w:rPr>
          <w:rFonts w:cstheme="minorHAnsi"/>
          <w:b/>
          <w:bCs/>
          <w:color w:val="000000" w:themeColor="text1"/>
          <w:sz w:val="24"/>
          <w:szCs w:val="24"/>
        </w:rPr>
        <w:t>CONCLUSION:</w:t>
      </w:r>
      <w:r w:rsidRPr="007E4472">
        <w:rPr>
          <w:rFonts w:cstheme="minorHAnsi"/>
          <w:bCs/>
          <w:color w:val="000000" w:themeColor="text1"/>
          <w:sz w:val="24"/>
          <w:szCs w:val="24"/>
        </w:rPr>
        <w:t xml:space="preserve"> The rate of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in our study was similar to previous studies that did not utilize AP. All of the causative organisms were resistant to the prophylactic agent. Patients who had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had a longer duration of EVD placement, hospital LOS, and ICU LOS, however, </w:t>
      </w:r>
      <w:proofErr w:type="gramStart"/>
      <w:r w:rsidRPr="007E4472">
        <w:rPr>
          <w:rFonts w:cstheme="minorHAnsi"/>
          <w:bCs/>
          <w:color w:val="000000" w:themeColor="text1"/>
          <w:sz w:val="24"/>
          <w:szCs w:val="24"/>
        </w:rPr>
        <w:t>30 day</w:t>
      </w:r>
      <w:proofErr w:type="gramEnd"/>
      <w:r w:rsidRPr="007E4472">
        <w:rPr>
          <w:rFonts w:cstheme="minorHAnsi"/>
          <w:bCs/>
          <w:color w:val="000000" w:themeColor="text1"/>
          <w:sz w:val="24"/>
          <w:szCs w:val="24"/>
        </w:rPr>
        <w:t xml:space="preserve"> mortality was not impacted. Based on our findings, the use of AP to prevent EVD related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w:t>
      </w:r>
      <w:proofErr w:type="gramStart"/>
      <w:r w:rsidRPr="007E4472">
        <w:rPr>
          <w:rFonts w:cstheme="minorHAnsi"/>
          <w:bCs/>
          <w:color w:val="000000" w:themeColor="text1"/>
          <w:sz w:val="24"/>
          <w:szCs w:val="24"/>
        </w:rPr>
        <w:t>should be reconsidered</w:t>
      </w:r>
      <w:proofErr w:type="gramEnd"/>
      <w:r w:rsidRPr="007E4472">
        <w:rPr>
          <w:rFonts w:cstheme="minorHAnsi"/>
          <w:bCs/>
          <w:color w:val="000000" w:themeColor="text1"/>
          <w:sz w:val="24"/>
          <w:szCs w:val="24"/>
        </w:rPr>
        <w:t>.</w:t>
      </w:r>
    </w:p>
    <w:p w:rsidR="007E4472" w:rsidRPr="007E4472" w:rsidRDefault="007E4472" w:rsidP="007E4472">
      <w:pPr>
        <w:spacing w:after="120" w:line="240" w:lineRule="auto"/>
        <w:rPr>
          <w:rFonts w:cstheme="minorHAnsi"/>
          <w:b/>
          <w:bCs/>
          <w:color w:val="000000" w:themeColor="text1"/>
          <w:sz w:val="24"/>
          <w:szCs w:val="24"/>
        </w:rPr>
      </w:pPr>
      <w:proofErr w:type="gramStart"/>
      <w:r w:rsidRPr="007E4472">
        <w:rPr>
          <w:rFonts w:cstheme="minorHAnsi"/>
          <w:bCs/>
          <w:color w:val="000000" w:themeColor="text1"/>
          <w:sz w:val="24"/>
          <w:szCs w:val="24"/>
        </w:rPr>
        <w:t>Table 1.</w:t>
      </w:r>
      <w:proofErr w:type="gramEnd"/>
      <w:r w:rsidRPr="007E4472">
        <w:rPr>
          <w:rFonts w:cstheme="minorHAnsi"/>
          <w:bCs/>
          <w:color w:val="000000" w:themeColor="text1"/>
          <w:sz w:val="24"/>
          <w:szCs w:val="24"/>
        </w:rPr>
        <w:t xml:space="preserve"> Demographics</w:t>
      </w:r>
    </w:p>
    <w:tbl>
      <w:tblPr>
        <w:tblStyle w:val="TableGrid"/>
        <w:tblW w:w="0" w:type="auto"/>
        <w:tblLook w:val="04A0"/>
      </w:tblPr>
      <w:tblGrid>
        <w:gridCol w:w="4675"/>
        <w:gridCol w:w="4675"/>
      </w:tblGrid>
      <w:tr w:rsidR="007E4472" w:rsidRPr="007E4472" w:rsidTr="00116D5D">
        <w:tc>
          <w:tcPr>
            <w:tcW w:w="4675" w:type="dxa"/>
            <w:shd w:val="clear" w:color="auto" w:fill="D9D9D9" w:themeFill="background1" w:themeFillShade="D9"/>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Demographic Category</w:t>
            </w:r>
          </w:p>
        </w:tc>
        <w:tc>
          <w:tcPr>
            <w:tcW w:w="4675" w:type="dxa"/>
            <w:shd w:val="clear" w:color="auto" w:fill="D9D9D9" w:themeFill="background1" w:themeFillShade="D9"/>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Study Group</w:t>
            </w:r>
          </w:p>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(n = 249)</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Age, mean (years)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58 ± 16</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Male (%)</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109 (44)</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EVD Duration, median (days)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6 ± 6</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Duration of Prophylaxis, median (days)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6 ± 7</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Reason for EVD</w:t>
            </w:r>
          </w:p>
          <w:p w:rsidR="007E4472" w:rsidRPr="007E4472" w:rsidRDefault="007E4472" w:rsidP="007E4472">
            <w:pPr>
              <w:pStyle w:val="ListParagraph"/>
              <w:numPr>
                <w:ilvl w:val="0"/>
                <w:numId w:val="2"/>
              </w:numPr>
              <w:spacing w:after="120"/>
              <w:ind w:left="0"/>
              <w:rPr>
                <w:rFonts w:cstheme="minorHAnsi"/>
                <w:bCs/>
                <w:color w:val="000000" w:themeColor="text1"/>
                <w:sz w:val="24"/>
                <w:szCs w:val="24"/>
              </w:rPr>
            </w:pPr>
            <w:r w:rsidRPr="007E4472">
              <w:rPr>
                <w:rFonts w:cstheme="minorHAnsi"/>
                <w:bCs/>
                <w:color w:val="000000" w:themeColor="text1"/>
                <w:sz w:val="24"/>
                <w:szCs w:val="24"/>
              </w:rPr>
              <w:t>Subarachnoid Hemorrhage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p w:rsidR="007E4472" w:rsidRPr="007E4472" w:rsidRDefault="007E4472" w:rsidP="007E4472">
            <w:pPr>
              <w:pStyle w:val="ListParagraph"/>
              <w:numPr>
                <w:ilvl w:val="0"/>
                <w:numId w:val="2"/>
              </w:numPr>
              <w:spacing w:after="120"/>
              <w:ind w:left="0"/>
              <w:rPr>
                <w:rFonts w:cstheme="minorHAnsi"/>
                <w:bCs/>
                <w:color w:val="000000" w:themeColor="text1"/>
                <w:sz w:val="24"/>
                <w:szCs w:val="24"/>
              </w:rPr>
            </w:pPr>
            <w:r w:rsidRPr="007E4472">
              <w:rPr>
                <w:rFonts w:cstheme="minorHAnsi"/>
                <w:bCs/>
                <w:color w:val="000000" w:themeColor="text1"/>
                <w:sz w:val="24"/>
                <w:szCs w:val="24"/>
              </w:rPr>
              <w:t>Tumor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p w:rsidR="007E4472" w:rsidRPr="007E4472" w:rsidRDefault="007E4472" w:rsidP="007E4472">
            <w:pPr>
              <w:pStyle w:val="ListParagraph"/>
              <w:numPr>
                <w:ilvl w:val="0"/>
                <w:numId w:val="2"/>
              </w:numPr>
              <w:spacing w:after="120"/>
              <w:ind w:left="0"/>
              <w:rPr>
                <w:rFonts w:cstheme="minorHAnsi"/>
                <w:bCs/>
                <w:color w:val="000000" w:themeColor="text1"/>
                <w:sz w:val="24"/>
                <w:szCs w:val="24"/>
              </w:rPr>
            </w:pPr>
            <w:r w:rsidRPr="007E4472">
              <w:rPr>
                <w:rFonts w:cstheme="minorHAnsi"/>
                <w:bCs/>
                <w:color w:val="000000" w:themeColor="text1"/>
                <w:sz w:val="24"/>
                <w:szCs w:val="24"/>
              </w:rPr>
              <w:t>Acute Ischemic Stroke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p w:rsidR="007E4472" w:rsidRPr="007E4472" w:rsidRDefault="007E4472" w:rsidP="007E4472">
            <w:pPr>
              <w:pStyle w:val="ListParagraph"/>
              <w:numPr>
                <w:ilvl w:val="0"/>
                <w:numId w:val="2"/>
              </w:numPr>
              <w:spacing w:after="120"/>
              <w:ind w:left="0"/>
              <w:rPr>
                <w:rFonts w:cstheme="minorHAnsi"/>
                <w:bCs/>
                <w:color w:val="000000" w:themeColor="text1"/>
                <w:sz w:val="24"/>
                <w:szCs w:val="24"/>
              </w:rPr>
            </w:pPr>
            <w:r w:rsidRPr="007E4472">
              <w:rPr>
                <w:rFonts w:cstheme="minorHAnsi"/>
                <w:bCs/>
                <w:color w:val="000000" w:themeColor="text1"/>
                <w:sz w:val="24"/>
                <w:szCs w:val="24"/>
              </w:rPr>
              <w:t>Other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tc>
        <w:tc>
          <w:tcPr>
            <w:tcW w:w="4675" w:type="dxa"/>
          </w:tcPr>
          <w:p w:rsidR="007E4472" w:rsidRPr="007E4472" w:rsidRDefault="007E4472" w:rsidP="007E4472">
            <w:pPr>
              <w:spacing w:after="120"/>
              <w:rPr>
                <w:rFonts w:cstheme="minorHAnsi"/>
                <w:bCs/>
                <w:color w:val="000000" w:themeColor="text1"/>
                <w:sz w:val="24"/>
                <w:szCs w:val="24"/>
              </w:rPr>
            </w:pP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189 (76)</w:t>
            </w: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48 (19)</w:t>
            </w: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5 (2)</w:t>
            </w: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7 (3)</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Prophylactic Agent</w:t>
            </w:r>
          </w:p>
          <w:p w:rsidR="007E4472" w:rsidRPr="007E4472" w:rsidRDefault="007E4472" w:rsidP="007E4472">
            <w:pPr>
              <w:pStyle w:val="ListParagraph"/>
              <w:numPr>
                <w:ilvl w:val="0"/>
                <w:numId w:val="3"/>
              </w:numPr>
              <w:spacing w:after="120"/>
              <w:ind w:left="0"/>
              <w:rPr>
                <w:rFonts w:cstheme="minorHAnsi"/>
                <w:bCs/>
                <w:color w:val="000000" w:themeColor="text1"/>
                <w:sz w:val="24"/>
                <w:szCs w:val="24"/>
              </w:rPr>
            </w:pPr>
            <w:proofErr w:type="spellStart"/>
            <w:r w:rsidRPr="007E4472">
              <w:rPr>
                <w:rFonts w:cstheme="minorHAnsi"/>
                <w:bCs/>
                <w:color w:val="000000" w:themeColor="text1"/>
                <w:sz w:val="24"/>
                <w:szCs w:val="24"/>
              </w:rPr>
              <w:t>Cefazolin</w:t>
            </w:r>
            <w:proofErr w:type="spellEnd"/>
            <w:r w:rsidRPr="007E4472">
              <w:rPr>
                <w:rFonts w:cstheme="minorHAnsi"/>
                <w:bCs/>
                <w:color w:val="000000" w:themeColor="text1"/>
                <w:sz w:val="24"/>
                <w:szCs w:val="24"/>
              </w:rPr>
              <w:t xml:space="preserve">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p w:rsidR="007E4472" w:rsidRPr="007E4472" w:rsidRDefault="007E4472" w:rsidP="007E4472">
            <w:pPr>
              <w:pStyle w:val="ListParagraph"/>
              <w:numPr>
                <w:ilvl w:val="0"/>
                <w:numId w:val="3"/>
              </w:numPr>
              <w:spacing w:after="120"/>
              <w:ind w:left="0"/>
              <w:rPr>
                <w:rFonts w:cstheme="minorHAnsi"/>
                <w:bCs/>
                <w:color w:val="000000" w:themeColor="text1"/>
                <w:sz w:val="24"/>
                <w:szCs w:val="24"/>
              </w:rPr>
            </w:pPr>
            <w:proofErr w:type="spellStart"/>
            <w:r w:rsidRPr="007E4472">
              <w:rPr>
                <w:rFonts w:cstheme="minorHAnsi"/>
                <w:bCs/>
                <w:color w:val="000000" w:themeColor="text1"/>
                <w:sz w:val="24"/>
                <w:szCs w:val="24"/>
              </w:rPr>
              <w:t>Vancomycin</w:t>
            </w:r>
            <w:proofErr w:type="spellEnd"/>
            <w:r w:rsidRPr="007E4472">
              <w:rPr>
                <w:rFonts w:cstheme="minorHAnsi"/>
                <w:bCs/>
                <w:color w:val="000000" w:themeColor="text1"/>
                <w:sz w:val="24"/>
                <w:szCs w:val="24"/>
              </w:rPr>
              <w:t xml:space="preserve">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p w:rsidR="007E4472" w:rsidRPr="007E4472" w:rsidRDefault="007E4472" w:rsidP="007E4472">
            <w:pPr>
              <w:pStyle w:val="ListParagraph"/>
              <w:numPr>
                <w:ilvl w:val="0"/>
                <w:numId w:val="3"/>
              </w:numPr>
              <w:spacing w:after="120"/>
              <w:ind w:left="0"/>
              <w:rPr>
                <w:rFonts w:cstheme="minorHAnsi"/>
                <w:bCs/>
                <w:color w:val="000000" w:themeColor="text1"/>
                <w:sz w:val="24"/>
                <w:szCs w:val="24"/>
              </w:rPr>
            </w:pPr>
            <w:proofErr w:type="spellStart"/>
            <w:r w:rsidRPr="007E4472">
              <w:rPr>
                <w:rFonts w:cstheme="minorHAnsi"/>
                <w:bCs/>
                <w:color w:val="000000" w:themeColor="text1"/>
                <w:sz w:val="24"/>
                <w:szCs w:val="24"/>
              </w:rPr>
              <w:t>Clindamycin</w:t>
            </w:r>
            <w:proofErr w:type="spellEnd"/>
            <w:r w:rsidRPr="007E4472">
              <w:rPr>
                <w:rFonts w:cstheme="minorHAnsi"/>
                <w:bCs/>
                <w:color w:val="000000" w:themeColor="text1"/>
                <w:sz w:val="24"/>
                <w:szCs w:val="24"/>
              </w:rPr>
              <w:t xml:space="preserve"> (</w:t>
            </w:r>
            <w:proofErr w:type="gramStart"/>
            <w:r w:rsidRPr="007E4472">
              <w:rPr>
                <w:rFonts w:cstheme="minorHAnsi"/>
                <w:bCs/>
                <w:color w:val="000000" w:themeColor="text1"/>
                <w:sz w:val="24"/>
                <w:szCs w:val="24"/>
              </w:rPr>
              <w:t>%</w:t>
            </w:r>
            <w:proofErr w:type="gramEnd"/>
            <w:r w:rsidRPr="007E4472">
              <w:rPr>
                <w:rFonts w:cstheme="minorHAnsi"/>
                <w:bCs/>
                <w:color w:val="000000" w:themeColor="text1"/>
                <w:sz w:val="24"/>
                <w:szCs w:val="24"/>
              </w:rPr>
              <w:t>)</w:t>
            </w:r>
          </w:p>
        </w:tc>
        <w:tc>
          <w:tcPr>
            <w:tcW w:w="4675" w:type="dxa"/>
          </w:tcPr>
          <w:p w:rsidR="007E4472" w:rsidRPr="007E4472" w:rsidRDefault="007E4472" w:rsidP="007E4472">
            <w:pPr>
              <w:spacing w:after="120"/>
              <w:rPr>
                <w:rFonts w:cstheme="minorHAnsi"/>
                <w:bCs/>
                <w:color w:val="000000" w:themeColor="text1"/>
                <w:sz w:val="24"/>
                <w:szCs w:val="24"/>
              </w:rPr>
            </w:pP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245 (98)</w:t>
            </w: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3 (1)</w:t>
            </w:r>
          </w:p>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 (1)</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Overall EVD-Days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1729</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Cases (%)</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7 (2.8)</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per 1000 EVD-days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4</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Length of Stay, median (days)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13 ± 12.5</w:t>
            </w:r>
          </w:p>
        </w:tc>
      </w:tr>
      <w:tr w:rsidR="007E4472" w:rsidRPr="007E4472" w:rsidTr="00116D5D">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ICU Length of Stay, median (days)</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6 ± 8</w:t>
            </w:r>
          </w:p>
        </w:tc>
      </w:tr>
      <w:tr w:rsidR="007E4472" w:rsidRPr="007E4472" w:rsidTr="00116D5D">
        <w:trPr>
          <w:trHeight w:val="107"/>
        </w:trPr>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30-Day Mortality (%)</w:t>
            </w:r>
          </w:p>
        </w:tc>
        <w:tc>
          <w:tcPr>
            <w:tcW w:w="467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48 (19.3)</w:t>
            </w:r>
          </w:p>
        </w:tc>
      </w:tr>
    </w:tbl>
    <w:p w:rsidR="007E4472" w:rsidRPr="007E4472" w:rsidRDefault="007E4472" w:rsidP="007E4472">
      <w:pPr>
        <w:spacing w:after="120" w:line="240" w:lineRule="auto"/>
        <w:rPr>
          <w:rFonts w:cstheme="minorHAnsi"/>
          <w:bCs/>
          <w:color w:val="000000" w:themeColor="text1"/>
          <w:sz w:val="24"/>
          <w:szCs w:val="24"/>
        </w:rPr>
      </w:pPr>
    </w:p>
    <w:p w:rsidR="007E4472" w:rsidRPr="007E4472" w:rsidRDefault="007E4472" w:rsidP="007E4472">
      <w:pPr>
        <w:spacing w:after="120" w:line="240" w:lineRule="auto"/>
        <w:rPr>
          <w:rFonts w:cstheme="minorHAnsi"/>
          <w:b/>
          <w:bCs/>
          <w:color w:val="000000" w:themeColor="text1"/>
          <w:sz w:val="24"/>
          <w:szCs w:val="24"/>
        </w:rPr>
      </w:pPr>
      <w:proofErr w:type="gramStart"/>
      <w:r w:rsidRPr="007E4472">
        <w:rPr>
          <w:rFonts w:cstheme="minorHAnsi"/>
          <w:bCs/>
          <w:color w:val="000000" w:themeColor="text1"/>
          <w:sz w:val="24"/>
          <w:szCs w:val="24"/>
        </w:rPr>
        <w:t>Table 2.</w:t>
      </w:r>
      <w:proofErr w:type="gramEnd"/>
      <w:r w:rsidRPr="007E4472">
        <w:rPr>
          <w:rFonts w:cstheme="minorHAnsi"/>
          <w:bCs/>
          <w:color w:val="000000" w:themeColor="text1"/>
          <w:sz w:val="24"/>
          <w:szCs w:val="24"/>
        </w:rPr>
        <w:t xml:space="preserve"> </w:t>
      </w:r>
      <w:proofErr w:type="spellStart"/>
      <w:r w:rsidRPr="007E4472">
        <w:rPr>
          <w:rFonts w:cstheme="minorHAnsi"/>
          <w:bCs/>
          <w:color w:val="000000" w:themeColor="text1"/>
          <w:sz w:val="24"/>
          <w:szCs w:val="24"/>
        </w:rPr>
        <w:t>Ventriculitis</w:t>
      </w:r>
      <w:proofErr w:type="spellEnd"/>
      <w:r w:rsidRPr="007E4472">
        <w:rPr>
          <w:rFonts w:cstheme="minorHAnsi"/>
          <w:bCs/>
          <w:color w:val="000000" w:themeColor="text1"/>
          <w:sz w:val="24"/>
          <w:szCs w:val="24"/>
        </w:rPr>
        <w:t xml:space="preserve"> Causative Organisms</w:t>
      </w:r>
    </w:p>
    <w:tbl>
      <w:tblPr>
        <w:tblStyle w:val="TableGrid"/>
        <w:tblW w:w="9355" w:type="dxa"/>
        <w:tblLook w:val="04A0"/>
      </w:tblPr>
      <w:tblGrid>
        <w:gridCol w:w="2785"/>
        <w:gridCol w:w="3240"/>
        <w:gridCol w:w="3330"/>
      </w:tblGrid>
      <w:tr w:rsidR="007E4472" w:rsidRPr="007E4472" w:rsidTr="00116D5D">
        <w:tc>
          <w:tcPr>
            <w:tcW w:w="2785"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Organism Cultured</w:t>
            </w:r>
          </w:p>
        </w:tc>
        <w:tc>
          <w:tcPr>
            <w:tcW w:w="3240"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Duration of EVD Prior to Positive Culture (days)</w:t>
            </w:r>
          </w:p>
        </w:tc>
        <w:tc>
          <w:tcPr>
            <w:tcW w:w="3330"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Susceptible to Prophylactic Agent</w:t>
            </w:r>
          </w:p>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(yes/no)</w:t>
            </w:r>
          </w:p>
        </w:tc>
      </w:tr>
      <w:tr w:rsidR="007E4472" w:rsidRPr="007E4472" w:rsidTr="00116D5D">
        <w:tc>
          <w:tcPr>
            <w:tcW w:w="2785" w:type="dxa"/>
            <w:vAlign w:val="center"/>
          </w:tcPr>
          <w:p w:rsidR="007E4472" w:rsidRPr="007E4472" w:rsidRDefault="007E4472" w:rsidP="007E4472">
            <w:pPr>
              <w:spacing w:after="120"/>
              <w:rPr>
                <w:rFonts w:cstheme="minorHAnsi"/>
                <w:b/>
                <w:bCs/>
                <w:color w:val="000000" w:themeColor="text1"/>
                <w:sz w:val="24"/>
                <w:szCs w:val="24"/>
              </w:rPr>
            </w:pPr>
            <w:proofErr w:type="spellStart"/>
            <w:r w:rsidRPr="007E4472">
              <w:rPr>
                <w:rFonts w:cstheme="minorHAnsi"/>
                <w:bCs/>
                <w:i/>
                <w:color w:val="000000" w:themeColor="text1"/>
                <w:sz w:val="24"/>
                <w:szCs w:val="24"/>
              </w:rPr>
              <w:t>Acinetobacter</w:t>
            </w:r>
            <w:proofErr w:type="spellEnd"/>
            <w:r w:rsidRPr="007E4472">
              <w:rPr>
                <w:rFonts w:cstheme="minorHAnsi"/>
                <w:bCs/>
                <w:i/>
                <w:color w:val="000000" w:themeColor="text1"/>
                <w:sz w:val="24"/>
                <w:szCs w:val="24"/>
              </w:rPr>
              <w:t xml:space="preserve"> </w:t>
            </w:r>
            <w:proofErr w:type="spellStart"/>
            <w:r w:rsidRPr="007E4472">
              <w:rPr>
                <w:rFonts w:cstheme="minorHAnsi"/>
                <w:bCs/>
                <w:i/>
                <w:color w:val="000000" w:themeColor="text1"/>
                <w:sz w:val="24"/>
                <w:szCs w:val="24"/>
              </w:rPr>
              <w:t>buamannii</w:t>
            </w:r>
            <w:proofErr w:type="spellEnd"/>
          </w:p>
        </w:tc>
        <w:tc>
          <w:tcPr>
            <w:tcW w:w="324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6</w:t>
            </w:r>
          </w:p>
        </w:tc>
        <w:tc>
          <w:tcPr>
            <w:tcW w:w="333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color w:val="000000" w:themeColor="text1"/>
                <w:sz w:val="24"/>
                <w:szCs w:val="24"/>
              </w:rPr>
            </w:pPr>
            <w:proofErr w:type="spellStart"/>
            <w:r w:rsidRPr="007E4472">
              <w:rPr>
                <w:rFonts w:cstheme="minorHAnsi"/>
                <w:bCs/>
                <w:color w:val="000000" w:themeColor="text1"/>
                <w:sz w:val="24"/>
                <w:szCs w:val="24"/>
              </w:rPr>
              <w:t>Coagulase</w:t>
            </w:r>
            <w:proofErr w:type="spellEnd"/>
            <w:r w:rsidRPr="007E4472">
              <w:rPr>
                <w:rFonts w:cstheme="minorHAnsi"/>
                <w:bCs/>
                <w:color w:val="000000" w:themeColor="text1"/>
                <w:sz w:val="24"/>
                <w:szCs w:val="24"/>
              </w:rPr>
              <w:t>-negative Staphylococcus</w:t>
            </w:r>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26</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i/>
                <w:color w:val="000000" w:themeColor="text1"/>
                <w:sz w:val="24"/>
                <w:szCs w:val="24"/>
              </w:rPr>
            </w:pPr>
            <w:proofErr w:type="spellStart"/>
            <w:r w:rsidRPr="007E4472">
              <w:rPr>
                <w:rFonts w:cstheme="minorHAnsi"/>
                <w:bCs/>
                <w:i/>
                <w:color w:val="000000" w:themeColor="text1"/>
                <w:sz w:val="24"/>
                <w:szCs w:val="24"/>
              </w:rPr>
              <w:t>Enterobacter</w:t>
            </w:r>
            <w:proofErr w:type="spellEnd"/>
            <w:r w:rsidRPr="007E4472">
              <w:rPr>
                <w:rFonts w:cstheme="minorHAnsi"/>
                <w:bCs/>
                <w:i/>
                <w:color w:val="000000" w:themeColor="text1"/>
                <w:sz w:val="24"/>
                <w:szCs w:val="24"/>
              </w:rPr>
              <w:t xml:space="preserve"> cloacae</w:t>
            </w:r>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12</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i/>
                <w:color w:val="000000" w:themeColor="text1"/>
                <w:sz w:val="24"/>
                <w:szCs w:val="24"/>
              </w:rPr>
            </w:pPr>
            <w:proofErr w:type="spellStart"/>
            <w:r w:rsidRPr="007E4472">
              <w:rPr>
                <w:rFonts w:cstheme="minorHAnsi"/>
                <w:bCs/>
                <w:i/>
                <w:color w:val="000000" w:themeColor="text1"/>
                <w:sz w:val="24"/>
                <w:szCs w:val="24"/>
              </w:rPr>
              <w:t>Enterobacter</w:t>
            </w:r>
            <w:proofErr w:type="spellEnd"/>
            <w:r w:rsidRPr="007E4472">
              <w:rPr>
                <w:rFonts w:cstheme="minorHAnsi"/>
                <w:bCs/>
                <w:i/>
                <w:color w:val="000000" w:themeColor="text1"/>
                <w:sz w:val="24"/>
                <w:szCs w:val="24"/>
              </w:rPr>
              <w:t xml:space="preserve"> cloacae</w:t>
            </w:r>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12</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i/>
                <w:color w:val="000000" w:themeColor="text1"/>
                <w:sz w:val="24"/>
                <w:szCs w:val="24"/>
              </w:rPr>
            </w:pPr>
            <w:proofErr w:type="spellStart"/>
            <w:r w:rsidRPr="007E4472">
              <w:rPr>
                <w:rFonts w:cstheme="minorHAnsi"/>
                <w:bCs/>
                <w:i/>
                <w:color w:val="000000" w:themeColor="text1"/>
                <w:sz w:val="24"/>
                <w:szCs w:val="24"/>
              </w:rPr>
              <w:t>Gordonia</w:t>
            </w:r>
            <w:proofErr w:type="spellEnd"/>
            <w:r w:rsidRPr="007E4472">
              <w:rPr>
                <w:rFonts w:cstheme="minorHAnsi"/>
                <w:bCs/>
                <w:i/>
                <w:color w:val="000000" w:themeColor="text1"/>
                <w:sz w:val="24"/>
                <w:szCs w:val="24"/>
              </w:rPr>
              <w:t xml:space="preserve"> </w:t>
            </w:r>
            <w:proofErr w:type="spellStart"/>
            <w:r w:rsidRPr="007E4472">
              <w:rPr>
                <w:rFonts w:cstheme="minorHAnsi"/>
                <w:bCs/>
                <w:i/>
                <w:color w:val="000000" w:themeColor="text1"/>
                <w:sz w:val="24"/>
                <w:szCs w:val="24"/>
              </w:rPr>
              <w:t>sputi</w:t>
            </w:r>
            <w:proofErr w:type="spellEnd"/>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10</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i/>
                <w:color w:val="000000" w:themeColor="text1"/>
                <w:sz w:val="24"/>
                <w:szCs w:val="24"/>
              </w:rPr>
            </w:pPr>
            <w:proofErr w:type="spellStart"/>
            <w:r w:rsidRPr="007E4472">
              <w:rPr>
                <w:rFonts w:cstheme="minorHAnsi"/>
                <w:bCs/>
                <w:i/>
                <w:color w:val="000000" w:themeColor="text1"/>
                <w:sz w:val="24"/>
                <w:szCs w:val="24"/>
              </w:rPr>
              <w:t>Klebsiella</w:t>
            </w:r>
            <w:proofErr w:type="spellEnd"/>
            <w:r w:rsidRPr="007E4472">
              <w:rPr>
                <w:rFonts w:cstheme="minorHAnsi"/>
                <w:bCs/>
                <w:i/>
                <w:color w:val="000000" w:themeColor="text1"/>
                <w:sz w:val="24"/>
                <w:szCs w:val="24"/>
              </w:rPr>
              <w:t xml:space="preserve"> </w:t>
            </w:r>
            <w:proofErr w:type="spellStart"/>
            <w:r w:rsidRPr="007E4472">
              <w:rPr>
                <w:rFonts w:cstheme="minorHAnsi"/>
                <w:bCs/>
                <w:i/>
                <w:color w:val="000000" w:themeColor="text1"/>
                <w:sz w:val="24"/>
                <w:szCs w:val="24"/>
              </w:rPr>
              <w:t>pneumoniae</w:t>
            </w:r>
            <w:proofErr w:type="spellEnd"/>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6</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r w:rsidR="007E4472" w:rsidRPr="007E4472" w:rsidTr="00116D5D">
        <w:tc>
          <w:tcPr>
            <w:tcW w:w="2785" w:type="dxa"/>
            <w:vAlign w:val="center"/>
          </w:tcPr>
          <w:p w:rsidR="007E4472" w:rsidRPr="007E4472" w:rsidRDefault="007E4472" w:rsidP="007E4472">
            <w:pPr>
              <w:spacing w:after="120"/>
              <w:rPr>
                <w:rFonts w:cstheme="minorHAnsi"/>
                <w:bCs/>
                <w:i/>
                <w:color w:val="000000" w:themeColor="text1"/>
                <w:sz w:val="24"/>
                <w:szCs w:val="24"/>
              </w:rPr>
            </w:pPr>
            <w:r w:rsidRPr="007E4472">
              <w:rPr>
                <w:rFonts w:cstheme="minorHAnsi"/>
                <w:bCs/>
                <w:i/>
                <w:color w:val="000000" w:themeColor="text1"/>
                <w:sz w:val="24"/>
                <w:szCs w:val="24"/>
              </w:rPr>
              <w:t xml:space="preserve">Pseudomonas </w:t>
            </w:r>
            <w:proofErr w:type="spellStart"/>
            <w:r w:rsidRPr="007E4472">
              <w:rPr>
                <w:rFonts w:cstheme="minorHAnsi"/>
                <w:bCs/>
                <w:i/>
                <w:color w:val="000000" w:themeColor="text1"/>
                <w:sz w:val="24"/>
                <w:szCs w:val="24"/>
              </w:rPr>
              <w:t>aeruginosa</w:t>
            </w:r>
            <w:proofErr w:type="spellEnd"/>
          </w:p>
        </w:tc>
        <w:tc>
          <w:tcPr>
            <w:tcW w:w="324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13</w:t>
            </w:r>
          </w:p>
        </w:tc>
        <w:tc>
          <w:tcPr>
            <w:tcW w:w="333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No</w:t>
            </w:r>
          </w:p>
        </w:tc>
      </w:tr>
    </w:tbl>
    <w:p w:rsidR="007E4472" w:rsidRDefault="007E4472" w:rsidP="007E4472">
      <w:pPr>
        <w:spacing w:after="120" w:line="240" w:lineRule="auto"/>
        <w:rPr>
          <w:rFonts w:cstheme="minorHAnsi"/>
          <w:bCs/>
          <w:color w:val="000000" w:themeColor="text1"/>
          <w:sz w:val="24"/>
          <w:szCs w:val="24"/>
        </w:rPr>
      </w:pPr>
    </w:p>
    <w:p w:rsidR="007E4472" w:rsidRPr="007E4472" w:rsidRDefault="007E4472" w:rsidP="007E4472">
      <w:pPr>
        <w:spacing w:after="120" w:line="240" w:lineRule="auto"/>
        <w:rPr>
          <w:rFonts w:cstheme="minorHAnsi"/>
          <w:b/>
          <w:bCs/>
          <w:color w:val="000000" w:themeColor="text1"/>
          <w:sz w:val="24"/>
          <w:szCs w:val="24"/>
        </w:rPr>
      </w:pPr>
      <w:proofErr w:type="gramStart"/>
      <w:r w:rsidRPr="007E4472">
        <w:rPr>
          <w:rFonts w:cstheme="minorHAnsi"/>
          <w:bCs/>
          <w:color w:val="000000" w:themeColor="text1"/>
          <w:sz w:val="24"/>
          <w:szCs w:val="24"/>
        </w:rPr>
        <w:t>Table 3.</w:t>
      </w:r>
      <w:proofErr w:type="gramEnd"/>
      <w:r w:rsidRPr="007E4472">
        <w:rPr>
          <w:rFonts w:cstheme="minorHAnsi"/>
          <w:bCs/>
          <w:color w:val="000000" w:themeColor="text1"/>
          <w:sz w:val="24"/>
          <w:szCs w:val="24"/>
        </w:rPr>
        <w:t xml:space="preserve"> Secondary Outcomes</w:t>
      </w:r>
    </w:p>
    <w:tbl>
      <w:tblPr>
        <w:tblStyle w:val="TableGrid"/>
        <w:tblW w:w="0" w:type="auto"/>
        <w:tblLook w:val="04A0"/>
      </w:tblPr>
      <w:tblGrid>
        <w:gridCol w:w="3055"/>
        <w:gridCol w:w="2160"/>
        <w:gridCol w:w="2160"/>
        <w:gridCol w:w="1975"/>
      </w:tblGrid>
      <w:tr w:rsidR="007E4472" w:rsidRPr="007E4472" w:rsidTr="00116D5D">
        <w:tc>
          <w:tcPr>
            <w:tcW w:w="3055" w:type="dxa"/>
            <w:shd w:val="clear" w:color="auto" w:fill="D9D9D9" w:themeFill="background1" w:themeFillShade="D9"/>
          </w:tcPr>
          <w:p w:rsidR="007E4472" w:rsidRPr="007E4472" w:rsidRDefault="007E4472" w:rsidP="007E4472">
            <w:pPr>
              <w:spacing w:after="120"/>
              <w:rPr>
                <w:rFonts w:cstheme="minorHAnsi"/>
                <w:b/>
                <w:bCs/>
                <w:color w:val="000000" w:themeColor="text1"/>
                <w:sz w:val="24"/>
                <w:szCs w:val="24"/>
              </w:rPr>
            </w:pPr>
          </w:p>
        </w:tc>
        <w:tc>
          <w:tcPr>
            <w:tcW w:w="2160"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proofErr w:type="spellStart"/>
            <w:r w:rsidRPr="007E4472">
              <w:rPr>
                <w:rFonts w:cstheme="minorHAnsi"/>
                <w:b/>
                <w:bCs/>
                <w:color w:val="000000" w:themeColor="text1"/>
                <w:sz w:val="24"/>
                <w:szCs w:val="24"/>
              </w:rPr>
              <w:t>Ventriculitis</w:t>
            </w:r>
            <w:proofErr w:type="spellEnd"/>
          </w:p>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(n=7)</w:t>
            </w:r>
          </w:p>
        </w:tc>
        <w:tc>
          <w:tcPr>
            <w:tcW w:w="2160"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 xml:space="preserve">No </w:t>
            </w:r>
            <w:proofErr w:type="spellStart"/>
            <w:r w:rsidRPr="007E4472">
              <w:rPr>
                <w:rFonts w:cstheme="minorHAnsi"/>
                <w:b/>
                <w:bCs/>
                <w:color w:val="000000" w:themeColor="text1"/>
                <w:sz w:val="24"/>
                <w:szCs w:val="24"/>
              </w:rPr>
              <w:t>Ventriculitis</w:t>
            </w:r>
            <w:proofErr w:type="spellEnd"/>
          </w:p>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(n=242)</w:t>
            </w:r>
          </w:p>
        </w:tc>
        <w:tc>
          <w:tcPr>
            <w:tcW w:w="1975" w:type="dxa"/>
            <w:shd w:val="clear" w:color="auto" w:fill="D9D9D9" w:themeFill="background1" w:themeFillShade="D9"/>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
                <w:bCs/>
                <w:color w:val="000000" w:themeColor="text1"/>
                <w:sz w:val="24"/>
                <w:szCs w:val="24"/>
              </w:rPr>
              <w:t>P-value</w:t>
            </w:r>
          </w:p>
        </w:tc>
      </w:tr>
      <w:tr w:rsidR="007E4472" w:rsidRPr="007E4472" w:rsidTr="00116D5D">
        <w:tc>
          <w:tcPr>
            <w:tcW w:w="3055" w:type="dxa"/>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Hospital LOS, mean (days)</w:t>
            </w:r>
          </w:p>
        </w:tc>
        <w:tc>
          <w:tcPr>
            <w:tcW w:w="216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30.1 ± 18.9</w:t>
            </w:r>
          </w:p>
        </w:tc>
        <w:tc>
          <w:tcPr>
            <w:tcW w:w="216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15.2 ± 12.2</w:t>
            </w:r>
          </w:p>
        </w:tc>
        <w:tc>
          <w:tcPr>
            <w:tcW w:w="1975"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0.04</w:t>
            </w:r>
          </w:p>
        </w:tc>
      </w:tr>
      <w:tr w:rsidR="007E4472" w:rsidRPr="007E4472" w:rsidTr="00116D5D">
        <w:tc>
          <w:tcPr>
            <w:tcW w:w="3055" w:type="dxa"/>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ICU LOS, mean (days)</w:t>
            </w:r>
          </w:p>
        </w:tc>
        <w:tc>
          <w:tcPr>
            <w:tcW w:w="216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22.3 ± 13.8</w:t>
            </w:r>
          </w:p>
        </w:tc>
        <w:tc>
          <w:tcPr>
            <w:tcW w:w="2160"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10.0 ± 7.3</w:t>
            </w:r>
          </w:p>
        </w:tc>
        <w:tc>
          <w:tcPr>
            <w:tcW w:w="1975" w:type="dxa"/>
            <w:vAlign w:val="center"/>
          </w:tcPr>
          <w:p w:rsidR="007E4472" w:rsidRPr="007E4472" w:rsidRDefault="007E4472" w:rsidP="007E4472">
            <w:pPr>
              <w:spacing w:after="120"/>
              <w:rPr>
                <w:rFonts w:cstheme="minorHAnsi"/>
                <w:b/>
                <w:bCs/>
                <w:color w:val="000000" w:themeColor="text1"/>
                <w:sz w:val="24"/>
                <w:szCs w:val="24"/>
              </w:rPr>
            </w:pPr>
            <w:r w:rsidRPr="007E4472">
              <w:rPr>
                <w:rFonts w:cstheme="minorHAnsi"/>
                <w:bCs/>
                <w:color w:val="000000" w:themeColor="text1"/>
                <w:sz w:val="24"/>
                <w:szCs w:val="24"/>
              </w:rPr>
              <w:t>0.03</w:t>
            </w:r>
          </w:p>
        </w:tc>
      </w:tr>
      <w:tr w:rsidR="007E4472" w:rsidRPr="007E4472" w:rsidTr="00116D5D">
        <w:tc>
          <w:tcPr>
            <w:tcW w:w="305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Duration of EVD, mean (days)</w:t>
            </w:r>
          </w:p>
        </w:tc>
        <w:tc>
          <w:tcPr>
            <w:tcW w:w="216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9.8 ± 3.1</w:t>
            </w:r>
          </w:p>
        </w:tc>
        <w:tc>
          <w:tcPr>
            <w:tcW w:w="216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6.8 ± 5.6</w:t>
            </w:r>
          </w:p>
        </w:tc>
        <w:tc>
          <w:tcPr>
            <w:tcW w:w="1975"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0.03</w:t>
            </w:r>
          </w:p>
        </w:tc>
      </w:tr>
      <w:tr w:rsidR="007E4472" w:rsidRPr="007E4472" w:rsidTr="00116D5D">
        <w:tc>
          <w:tcPr>
            <w:tcW w:w="3055" w:type="dxa"/>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30-Day Mortality (%)</w:t>
            </w:r>
          </w:p>
        </w:tc>
        <w:tc>
          <w:tcPr>
            <w:tcW w:w="216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2 (28.5)</w:t>
            </w:r>
          </w:p>
        </w:tc>
        <w:tc>
          <w:tcPr>
            <w:tcW w:w="2160"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46 (19)</w:t>
            </w:r>
          </w:p>
        </w:tc>
        <w:tc>
          <w:tcPr>
            <w:tcW w:w="1975" w:type="dxa"/>
            <w:vAlign w:val="center"/>
          </w:tcPr>
          <w:p w:rsidR="007E4472" w:rsidRPr="007E4472" w:rsidRDefault="007E4472" w:rsidP="007E4472">
            <w:pPr>
              <w:spacing w:after="120"/>
              <w:rPr>
                <w:rFonts w:cstheme="minorHAnsi"/>
                <w:bCs/>
                <w:color w:val="000000" w:themeColor="text1"/>
                <w:sz w:val="24"/>
                <w:szCs w:val="24"/>
              </w:rPr>
            </w:pPr>
            <w:r w:rsidRPr="007E4472">
              <w:rPr>
                <w:rFonts w:cstheme="minorHAnsi"/>
                <w:bCs/>
                <w:color w:val="000000" w:themeColor="text1"/>
                <w:sz w:val="24"/>
                <w:szCs w:val="24"/>
              </w:rPr>
              <w:t>0.53</w:t>
            </w:r>
          </w:p>
        </w:tc>
      </w:tr>
    </w:tbl>
    <w:p w:rsidR="007E4472" w:rsidRDefault="007E4472" w:rsidP="007E4472">
      <w:pPr>
        <w:spacing w:after="120" w:line="240" w:lineRule="auto"/>
        <w:rPr>
          <w:rFonts w:cstheme="minorHAnsi"/>
          <w:b/>
          <w:bCs/>
          <w:color w:val="000000" w:themeColor="text1"/>
          <w:sz w:val="24"/>
          <w:szCs w:val="24"/>
        </w:rPr>
      </w:pPr>
    </w:p>
    <w:p w:rsidR="00DF5006" w:rsidRPr="003A3826" w:rsidRDefault="00DF5006" w:rsidP="00DF5006">
      <w:pPr>
        <w:spacing w:after="120" w:line="240" w:lineRule="auto"/>
        <w:rPr>
          <w:rFonts w:cstheme="minorHAnsi"/>
          <w:b/>
          <w:sz w:val="24"/>
          <w:szCs w:val="24"/>
        </w:rPr>
      </w:pPr>
      <w:r w:rsidRPr="003A3826">
        <w:rPr>
          <w:rFonts w:cstheme="minorHAnsi"/>
          <w:b/>
          <w:sz w:val="24"/>
          <w:szCs w:val="24"/>
        </w:rPr>
        <w:t xml:space="preserve">Clinical Outcomes of </w:t>
      </w:r>
      <w:proofErr w:type="spellStart"/>
      <w:r w:rsidRPr="003A3826">
        <w:rPr>
          <w:rFonts w:cstheme="minorHAnsi"/>
          <w:b/>
          <w:sz w:val="24"/>
          <w:szCs w:val="24"/>
        </w:rPr>
        <w:t>Oseltamivir</w:t>
      </w:r>
      <w:proofErr w:type="spellEnd"/>
      <w:r w:rsidRPr="003A3826">
        <w:rPr>
          <w:rFonts w:cstheme="minorHAnsi"/>
          <w:b/>
          <w:sz w:val="24"/>
          <w:szCs w:val="24"/>
        </w:rPr>
        <w:t xml:space="preserve"> versus </w:t>
      </w:r>
      <w:proofErr w:type="spellStart"/>
      <w:r w:rsidRPr="003A3826">
        <w:rPr>
          <w:rFonts w:cstheme="minorHAnsi"/>
          <w:b/>
          <w:sz w:val="24"/>
          <w:szCs w:val="24"/>
        </w:rPr>
        <w:t>Baloxavir</w:t>
      </w:r>
      <w:proofErr w:type="spellEnd"/>
      <w:r w:rsidRPr="003A3826">
        <w:rPr>
          <w:rFonts w:cstheme="minorHAnsi"/>
          <w:b/>
          <w:sz w:val="24"/>
          <w:szCs w:val="24"/>
        </w:rPr>
        <w:t xml:space="preserve"> in Patients Hospitalized with Influenza A</w:t>
      </w:r>
    </w:p>
    <w:p w:rsidR="00DF5006" w:rsidRPr="003A3826" w:rsidRDefault="00DF5006" w:rsidP="00DF5006">
      <w:pPr>
        <w:spacing w:after="120" w:line="240" w:lineRule="auto"/>
        <w:rPr>
          <w:rFonts w:cstheme="minorHAnsi"/>
          <w:sz w:val="24"/>
          <w:szCs w:val="24"/>
        </w:rPr>
      </w:pPr>
      <w:r w:rsidRPr="003A3826">
        <w:rPr>
          <w:rFonts w:cstheme="minorHAnsi"/>
          <w:b/>
          <w:caps/>
          <w:sz w:val="24"/>
          <w:szCs w:val="24"/>
        </w:rPr>
        <w:t>Authors</w:t>
      </w:r>
      <w:r w:rsidRPr="003A3826">
        <w:rPr>
          <w:rFonts w:cstheme="minorHAnsi"/>
          <w:caps/>
          <w:sz w:val="24"/>
          <w:szCs w:val="24"/>
        </w:rPr>
        <w:t xml:space="preserve">: </w:t>
      </w:r>
      <w:r w:rsidRPr="003A3826">
        <w:rPr>
          <w:rFonts w:cstheme="minorHAnsi"/>
          <w:sz w:val="24"/>
          <w:szCs w:val="24"/>
        </w:rPr>
        <w:t xml:space="preserve">Presenter: </w:t>
      </w:r>
      <w:proofErr w:type="spellStart"/>
      <w:r w:rsidRPr="003A3826">
        <w:rPr>
          <w:rFonts w:cstheme="minorHAnsi"/>
          <w:sz w:val="24"/>
          <w:szCs w:val="24"/>
        </w:rPr>
        <w:t>Sunish</w:t>
      </w:r>
      <w:proofErr w:type="spellEnd"/>
      <w:r w:rsidRPr="003A3826">
        <w:rPr>
          <w:rFonts w:cstheme="minorHAnsi"/>
          <w:sz w:val="24"/>
          <w:szCs w:val="24"/>
        </w:rPr>
        <w:t xml:space="preserve"> Shah, </w:t>
      </w:r>
      <w:proofErr w:type="spellStart"/>
      <w:r w:rsidRPr="003A3826">
        <w:rPr>
          <w:rFonts w:cstheme="minorHAnsi"/>
          <w:sz w:val="24"/>
          <w:szCs w:val="24"/>
        </w:rPr>
        <w:t>PharmD</w:t>
      </w:r>
      <w:proofErr w:type="spellEnd"/>
      <w:r w:rsidRPr="003A3826">
        <w:rPr>
          <w:rFonts w:cstheme="minorHAnsi"/>
          <w:sz w:val="24"/>
          <w:szCs w:val="24"/>
        </w:rPr>
        <w:t>;</w:t>
      </w:r>
      <w:r w:rsidRPr="003A3826">
        <w:rPr>
          <w:rFonts w:cstheme="minorHAnsi"/>
          <w:sz w:val="24"/>
          <w:szCs w:val="24"/>
        </w:rPr>
        <w:t xml:space="preserve"> </w:t>
      </w:r>
      <w:r w:rsidRPr="003A3826">
        <w:rPr>
          <w:rFonts w:cstheme="minorHAnsi"/>
          <w:sz w:val="24"/>
          <w:szCs w:val="24"/>
        </w:rPr>
        <w:t xml:space="preserve">Dayna McManus, </w:t>
      </w:r>
      <w:proofErr w:type="spellStart"/>
      <w:r w:rsidRPr="003A3826">
        <w:rPr>
          <w:rFonts w:cstheme="minorHAnsi"/>
          <w:sz w:val="24"/>
          <w:szCs w:val="24"/>
        </w:rPr>
        <w:t>PharmD</w:t>
      </w:r>
      <w:proofErr w:type="spellEnd"/>
      <w:r w:rsidRPr="003A3826">
        <w:rPr>
          <w:rFonts w:cstheme="minorHAnsi"/>
          <w:sz w:val="24"/>
          <w:szCs w:val="24"/>
        </w:rPr>
        <w:t>, BCPS-AQ ID;</w:t>
      </w:r>
      <w:r w:rsidRPr="003A3826">
        <w:rPr>
          <w:rFonts w:cstheme="minorHAnsi"/>
          <w:sz w:val="24"/>
          <w:szCs w:val="24"/>
        </w:rPr>
        <w:t xml:space="preserve"> </w:t>
      </w:r>
      <w:r w:rsidRPr="003A3826">
        <w:rPr>
          <w:rFonts w:cstheme="minorHAnsi"/>
          <w:sz w:val="24"/>
          <w:szCs w:val="24"/>
        </w:rPr>
        <w:t xml:space="preserve">Nika Bejou, </w:t>
      </w:r>
      <w:proofErr w:type="spellStart"/>
      <w:r w:rsidRPr="003A3826">
        <w:rPr>
          <w:rFonts w:cstheme="minorHAnsi"/>
          <w:sz w:val="24"/>
          <w:szCs w:val="24"/>
        </w:rPr>
        <w:t>PharmD</w:t>
      </w:r>
      <w:proofErr w:type="spellEnd"/>
      <w:r w:rsidRPr="003A3826">
        <w:rPr>
          <w:rFonts w:cstheme="minorHAnsi"/>
          <w:sz w:val="24"/>
          <w:szCs w:val="24"/>
        </w:rPr>
        <w:t>;</w:t>
      </w:r>
      <w:r w:rsidRPr="003A3826">
        <w:rPr>
          <w:rFonts w:cstheme="minorHAnsi"/>
          <w:sz w:val="24"/>
          <w:szCs w:val="24"/>
        </w:rPr>
        <w:t xml:space="preserve"> </w:t>
      </w:r>
      <w:proofErr w:type="spellStart"/>
      <w:r w:rsidRPr="003A3826">
        <w:rPr>
          <w:rFonts w:cstheme="minorHAnsi"/>
          <w:sz w:val="24"/>
          <w:szCs w:val="24"/>
        </w:rPr>
        <w:t>Samad</w:t>
      </w:r>
      <w:proofErr w:type="spellEnd"/>
      <w:r w:rsidRPr="003A3826">
        <w:rPr>
          <w:rFonts w:cstheme="minorHAnsi"/>
          <w:sz w:val="24"/>
          <w:szCs w:val="24"/>
        </w:rPr>
        <w:t xml:space="preserve"> </w:t>
      </w:r>
      <w:proofErr w:type="spellStart"/>
      <w:r w:rsidRPr="003A3826">
        <w:rPr>
          <w:rFonts w:cstheme="minorHAnsi"/>
          <w:sz w:val="24"/>
          <w:szCs w:val="24"/>
        </w:rPr>
        <w:t>Tirmizi</w:t>
      </w:r>
      <w:proofErr w:type="spellEnd"/>
      <w:r w:rsidRPr="003A3826">
        <w:rPr>
          <w:rFonts w:cstheme="minorHAnsi"/>
          <w:sz w:val="24"/>
          <w:szCs w:val="24"/>
        </w:rPr>
        <w:t xml:space="preserve">, </w:t>
      </w:r>
      <w:proofErr w:type="spellStart"/>
      <w:r w:rsidRPr="003A3826">
        <w:rPr>
          <w:rFonts w:cstheme="minorHAnsi"/>
          <w:sz w:val="24"/>
          <w:szCs w:val="24"/>
        </w:rPr>
        <w:t>PharmD</w:t>
      </w:r>
      <w:proofErr w:type="spellEnd"/>
      <w:r w:rsidRPr="003A3826">
        <w:rPr>
          <w:rFonts w:cstheme="minorHAnsi"/>
          <w:sz w:val="24"/>
          <w:szCs w:val="24"/>
        </w:rPr>
        <w:t>, BCIDP;</w:t>
      </w:r>
      <w:r w:rsidRPr="003A3826">
        <w:rPr>
          <w:rFonts w:cstheme="minorHAnsi"/>
          <w:sz w:val="24"/>
          <w:szCs w:val="24"/>
        </w:rPr>
        <w:t xml:space="preserve"> </w:t>
      </w:r>
      <w:r w:rsidRPr="003A3826">
        <w:rPr>
          <w:rFonts w:cstheme="minorHAnsi"/>
          <w:sz w:val="24"/>
          <w:szCs w:val="24"/>
        </w:rPr>
        <w:t xml:space="preserve">Ginger Rouse, </w:t>
      </w:r>
      <w:proofErr w:type="spellStart"/>
      <w:r w:rsidRPr="003A3826">
        <w:rPr>
          <w:rFonts w:cstheme="minorHAnsi"/>
          <w:sz w:val="24"/>
          <w:szCs w:val="24"/>
        </w:rPr>
        <w:t>PharmD</w:t>
      </w:r>
      <w:proofErr w:type="spellEnd"/>
      <w:r w:rsidRPr="003A3826">
        <w:rPr>
          <w:rFonts w:cstheme="minorHAnsi"/>
          <w:sz w:val="24"/>
          <w:szCs w:val="24"/>
        </w:rPr>
        <w:t xml:space="preserve">, BCPS, </w:t>
      </w:r>
      <w:proofErr w:type="spellStart"/>
      <w:r w:rsidRPr="003A3826">
        <w:rPr>
          <w:rFonts w:cstheme="minorHAnsi"/>
          <w:sz w:val="24"/>
          <w:szCs w:val="24"/>
        </w:rPr>
        <w:t>BCCCP;Steven</w:t>
      </w:r>
      <w:proofErr w:type="spellEnd"/>
      <w:r w:rsidRPr="003A3826">
        <w:rPr>
          <w:rFonts w:cstheme="minorHAnsi"/>
          <w:sz w:val="24"/>
          <w:szCs w:val="24"/>
        </w:rPr>
        <w:t xml:space="preserve"> Lemieux, </w:t>
      </w:r>
      <w:proofErr w:type="spellStart"/>
      <w:r w:rsidRPr="003A3826">
        <w:rPr>
          <w:rFonts w:cstheme="minorHAnsi"/>
          <w:sz w:val="24"/>
          <w:szCs w:val="24"/>
        </w:rPr>
        <w:t>PharmD</w:t>
      </w:r>
      <w:proofErr w:type="spellEnd"/>
      <w:r w:rsidRPr="003A3826">
        <w:rPr>
          <w:rFonts w:cstheme="minorHAnsi"/>
          <w:sz w:val="24"/>
          <w:szCs w:val="24"/>
        </w:rPr>
        <w:t>, BCPS, BCCCP;</w:t>
      </w:r>
      <w:r w:rsidRPr="003A3826">
        <w:rPr>
          <w:rFonts w:cstheme="minorHAnsi"/>
          <w:sz w:val="24"/>
          <w:szCs w:val="24"/>
        </w:rPr>
        <w:t xml:space="preserve"> </w:t>
      </w:r>
      <w:r w:rsidRPr="003A3826">
        <w:rPr>
          <w:rFonts w:cstheme="minorHAnsi"/>
          <w:sz w:val="24"/>
          <w:szCs w:val="24"/>
        </w:rPr>
        <w:t xml:space="preserve">Diana Gritsenko, </w:t>
      </w:r>
      <w:proofErr w:type="spellStart"/>
      <w:r w:rsidRPr="003A3826">
        <w:rPr>
          <w:rFonts w:cstheme="minorHAnsi"/>
          <w:sz w:val="24"/>
          <w:szCs w:val="24"/>
        </w:rPr>
        <w:t>PharmD</w:t>
      </w:r>
      <w:proofErr w:type="spellEnd"/>
      <w:r w:rsidRPr="003A3826">
        <w:rPr>
          <w:rFonts w:cstheme="minorHAnsi"/>
          <w:sz w:val="24"/>
          <w:szCs w:val="24"/>
        </w:rPr>
        <w:t>, BCCCP;</w:t>
      </w:r>
      <w:r w:rsidRPr="003A3826">
        <w:rPr>
          <w:rFonts w:cstheme="minorHAnsi"/>
          <w:sz w:val="24"/>
          <w:szCs w:val="24"/>
        </w:rPr>
        <w:t xml:space="preserve"> </w:t>
      </w:r>
      <w:r w:rsidRPr="003A3826">
        <w:rPr>
          <w:rFonts w:cstheme="minorHAnsi"/>
          <w:sz w:val="24"/>
          <w:szCs w:val="24"/>
        </w:rPr>
        <w:t xml:space="preserve">Jeffrey </w:t>
      </w:r>
      <w:proofErr w:type="spellStart"/>
      <w:r w:rsidRPr="003A3826">
        <w:rPr>
          <w:rFonts w:cstheme="minorHAnsi"/>
          <w:sz w:val="24"/>
          <w:szCs w:val="24"/>
        </w:rPr>
        <w:t>Topal</w:t>
      </w:r>
      <w:proofErr w:type="spellEnd"/>
      <w:r w:rsidRPr="003A3826">
        <w:rPr>
          <w:rFonts w:cstheme="minorHAnsi"/>
          <w:sz w:val="24"/>
          <w:szCs w:val="24"/>
        </w:rPr>
        <w:t xml:space="preserve">, MD  </w:t>
      </w:r>
    </w:p>
    <w:p w:rsidR="00DF5006" w:rsidRDefault="00DF5006" w:rsidP="00DF5006">
      <w:pPr>
        <w:spacing w:after="120" w:line="240" w:lineRule="auto"/>
        <w:rPr>
          <w:rFonts w:cstheme="minorHAnsi"/>
          <w:sz w:val="24"/>
          <w:szCs w:val="24"/>
        </w:rPr>
      </w:pPr>
      <w:r w:rsidRPr="003A3826">
        <w:rPr>
          <w:rFonts w:cstheme="minorHAnsi"/>
          <w:b/>
          <w:caps/>
          <w:sz w:val="24"/>
          <w:szCs w:val="24"/>
        </w:rPr>
        <w:t>Background</w:t>
      </w:r>
      <w:r w:rsidRPr="003A3826">
        <w:rPr>
          <w:rFonts w:cstheme="minorHAnsi"/>
          <w:b/>
          <w:sz w:val="24"/>
          <w:szCs w:val="24"/>
        </w:rPr>
        <w:t xml:space="preserve">: </w:t>
      </w:r>
      <w:proofErr w:type="spellStart"/>
      <w:r w:rsidRPr="003A3826">
        <w:rPr>
          <w:rFonts w:cstheme="minorHAnsi"/>
          <w:sz w:val="24"/>
          <w:szCs w:val="24"/>
        </w:rPr>
        <w:t>Baloxavir</w:t>
      </w:r>
      <w:proofErr w:type="spellEnd"/>
      <w:r w:rsidRPr="003A3826">
        <w:rPr>
          <w:rFonts w:cstheme="minorHAnsi"/>
          <w:sz w:val="24"/>
          <w:szCs w:val="24"/>
        </w:rPr>
        <w:t xml:space="preserve"> </w:t>
      </w:r>
      <w:proofErr w:type="spellStart"/>
      <w:r w:rsidRPr="003A3826">
        <w:rPr>
          <w:rFonts w:cstheme="minorHAnsi"/>
          <w:sz w:val="24"/>
          <w:szCs w:val="24"/>
        </w:rPr>
        <w:t>marboxil</w:t>
      </w:r>
      <w:proofErr w:type="spellEnd"/>
      <w:r w:rsidRPr="003A3826">
        <w:rPr>
          <w:rFonts w:cstheme="minorHAnsi"/>
          <w:sz w:val="24"/>
          <w:szCs w:val="24"/>
        </w:rPr>
        <w:t xml:space="preserve"> is a new antiviral agent for the treatment of acute uncomplicated influenza in patients </w:t>
      </w:r>
      <w:r w:rsidRPr="003A3826">
        <w:rPr>
          <w:rFonts w:cstheme="minorHAnsi"/>
          <w:sz w:val="24"/>
          <w:szCs w:val="24"/>
          <w:u w:val="single"/>
        </w:rPr>
        <w:t>&gt;</w:t>
      </w:r>
      <w:r w:rsidRPr="003A3826">
        <w:rPr>
          <w:rFonts w:cstheme="minorHAnsi"/>
          <w:sz w:val="24"/>
          <w:szCs w:val="24"/>
        </w:rPr>
        <w:t xml:space="preserve"> 12 years of age who have been symptomatic for no more than 48 hours. However, clinical trials to date have excluded patients hospitalized with influenza infection.</w:t>
      </w:r>
    </w:p>
    <w:p w:rsidR="00DF5006" w:rsidRDefault="00DF5006" w:rsidP="00DF5006">
      <w:pPr>
        <w:spacing w:after="120" w:line="240" w:lineRule="auto"/>
        <w:rPr>
          <w:rFonts w:cstheme="minorHAnsi"/>
          <w:sz w:val="24"/>
          <w:szCs w:val="24"/>
        </w:rPr>
      </w:pPr>
      <w:r w:rsidRPr="003A3826">
        <w:rPr>
          <w:rFonts w:cstheme="minorHAnsi"/>
          <w:b/>
          <w:caps/>
          <w:sz w:val="24"/>
          <w:szCs w:val="24"/>
        </w:rPr>
        <w:t>Methods</w:t>
      </w:r>
      <w:r w:rsidRPr="003A3826">
        <w:rPr>
          <w:rFonts w:cstheme="minorHAnsi"/>
          <w:b/>
          <w:sz w:val="24"/>
          <w:szCs w:val="24"/>
        </w:rPr>
        <w:t xml:space="preserve">: </w:t>
      </w:r>
      <w:r w:rsidRPr="003A3826">
        <w:rPr>
          <w:rFonts w:cstheme="minorHAnsi"/>
          <w:sz w:val="24"/>
          <w:szCs w:val="24"/>
        </w:rPr>
        <w:t xml:space="preserve"> This study was a multi-center, retrospective chart review of adult patients admitted to the hospital who received </w:t>
      </w:r>
      <w:proofErr w:type="spellStart"/>
      <w:r w:rsidRPr="003A3826">
        <w:rPr>
          <w:rFonts w:cstheme="minorHAnsi"/>
          <w:sz w:val="24"/>
          <w:szCs w:val="24"/>
        </w:rPr>
        <w:t>oseltamivir</w:t>
      </w:r>
      <w:proofErr w:type="spellEnd"/>
      <w:r w:rsidRPr="003A3826">
        <w:rPr>
          <w:rFonts w:cstheme="minorHAnsi"/>
          <w:sz w:val="24"/>
          <w:szCs w:val="24"/>
        </w:rPr>
        <w:t xml:space="preserve"> or </w:t>
      </w:r>
      <w:proofErr w:type="spellStart"/>
      <w:r w:rsidRPr="003A3826">
        <w:rPr>
          <w:rFonts w:cstheme="minorHAnsi"/>
          <w:sz w:val="24"/>
          <w:szCs w:val="24"/>
        </w:rPr>
        <w:t>baloxavir</w:t>
      </w:r>
      <w:proofErr w:type="spellEnd"/>
      <w:r w:rsidRPr="003A3826">
        <w:rPr>
          <w:rFonts w:cstheme="minorHAnsi"/>
          <w:sz w:val="24"/>
          <w:szCs w:val="24"/>
        </w:rPr>
        <w:t xml:space="preserve"> for the treatment of influenza A. Patients </w:t>
      </w:r>
      <w:proofErr w:type="gramStart"/>
      <w:r w:rsidRPr="003A3826">
        <w:rPr>
          <w:rFonts w:cstheme="minorHAnsi"/>
          <w:sz w:val="24"/>
          <w:szCs w:val="24"/>
        </w:rPr>
        <w:t>were screened</w:t>
      </w:r>
      <w:proofErr w:type="gramEnd"/>
      <w:r w:rsidRPr="003A3826">
        <w:rPr>
          <w:rFonts w:cstheme="minorHAnsi"/>
          <w:sz w:val="24"/>
          <w:szCs w:val="24"/>
        </w:rPr>
        <w:t xml:space="preserve"> for inclusion between January 2018 and February 2018 in the </w:t>
      </w:r>
      <w:proofErr w:type="spellStart"/>
      <w:r w:rsidRPr="003A3826">
        <w:rPr>
          <w:rFonts w:cstheme="minorHAnsi"/>
          <w:sz w:val="24"/>
          <w:szCs w:val="24"/>
        </w:rPr>
        <w:t>oseltamivir</w:t>
      </w:r>
      <w:proofErr w:type="spellEnd"/>
      <w:r w:rsidRPr="003A3826">
        <w:rPr>
          <w:rFonts w:cstheme="minorHAnsi"/>
          <w:sz w:val="24"/>
          <w:szCs w:val="24"/>
        </w:rPr>
        <w:t xml:space="preserve"> group while patients in the </w:t>
      </w:r>
      <w:proofErr w:type="spellStart"/>
      <w:r w:rsidRPr="003A3826">
        <w:rPr>
          <w:rFonts w:cstheme="minorHAnsi"/>
          <w:sz w:val="24"/>
          <w:szCs w:val="24"/>
        </w:rPr>
        <w:t>baloxavir</w:t>
      </w:r>
      <w:proofErr w:type="spellEnd"/>
      <w:r w:rsidRPr="003A3826">
        <w:rPr>
          <w:rFonts w:cstheme="minorHAnsi"/>
          <w:sz w:val="24"/>
          <w:szCs w:val="24"/>
        </w:rPr>
        <w:t xml:space="preserve"> group were screened for inclusion between January 2019 and February 2019. </w:t>
      </w:r>
      <w:proofErr w:type="gramStart"/>
      <w:r w:rsidRPr="003A3826">
        <w:rPr>
          <w:rFonts w:cstheme="minorHAnsi"/>
          <w:sz w:val="24"/>
          <w:szCs w:val="24"/>
        </w:rPr>
        <w:t xml:space="preserve">Patients who had influenza diagnosed after 48 hours from hospital admission, were not admitted to the hospital, received </w:t>
      </w:r>
      <w:proofErr w:type="spellStart"/>
      <w:r w:rsidRPr="003A3826">
        <w:rPr>
          <w:rFonts w:cstheme="minorHAnsi"/>
          <w:sz w:val="24"/>
          <w:szCs w:val="24"/>
        </w:rPr>
        <w:t>baloxavir</w:t>
      </w:r>
      <w:proofErr w:type="spellEnd"/>
      <w:r w:rsidRPr="003A3826">
        <w:rPr>
          <w:rFonts w:cstheme="minorHAnsi"/>
          <w:sz w:val="24"/>
          <w:szCs w:val="24"/>
        </w:rPr>
        <w:t xml:space="preserve"> and &gt; 2 doses of </w:t>
      </w:r>
      <w:proofErr w:type="spellStart"/>
      <w:r w:rsidRPr="003A3826">
        <w:rPr>
          <w:rFonts w:cstheme="minorHAnsi"/>
          <w:sz w:val="24"/>
          <w:szCs w:val="24"/>
        </w:rPr>
        <w:t>oseltamivir</w:t>
      </w:r>
      <w:proofErr w:type="spellEnd"/>
      <w:r w:rsidRPr="003A3826">
        <w:rPr>
          <w:rFonts w:cstheme="minorHAnsi"/>
          <w:sz w:val="24"/>
          <w:szCs w:val="24"/>
        </w:rPr>
        <w:t xml:space="preserve"> during their hospital stay, received &gt; 1 dose of </w:t>
      </w:r>
      <w:proofErr w:type="spellStart"/>
      <w:r w:rsidRPr="003A3826">
        <w:rPr>
          <w:rFonts w:cstheme="minorHAnsi"/>
          <w:sz w:val="24"/>
          <w:szCs w:val="24"/>
        </w:rPr>
        <w:t>baloxavir</w:t>
      </w:r>
      <w:proofErr w:type="spellEnd"/>
      <w:r w:rsidRPr="003A3826">
        <w:rPr>
          <w:rFonts w:cstheme="minorHAnsi"/>
          <w:sz w:val="24"/>
          <w:szCs w:val="24"/>
        </w:rPr>
        <w:t xml:space="preserve"> during admission for influenza, received influenza therapy prior to admission, died within 48 hours of presentation to the hospital, were asymptomatic at the time of antiviral therapy, or who had left the hospital against medical advice were excluded.</w:t>
      </w:r>
      <w:proofErr w:type="gramEnd"/>
      <w:r w:rsidRPr="003A3826">
        <w:rPr>
          <w:rFonts w:cstheme="minorHAnsi"/>
          <w:sz w:val="24"/>
          <w:szCs w:val="24"/>
        </w:rPr>
        <w:t xml:space="preserve"> Influenza A diagnosis </w:t>
      </w:r>
      <w:proofErr w:type="gramStart"/>
      <w:r w:rsidRPr="003A3826">
        <w:rPr>
          <w:rFonts w:cstheme="minorHAnsi"/>
          <w:sz w:val="24"/>
          <w:szCs w:val="24"/>
        </w:rPr>
        <w:t>was confirmed</w:t>
      </w:r>
      <w:proofErr w:type="gramEnd"/>
      <w:r w:rsidRPr="003A3826">
        <w:rPr>
          <w:rFonts w:cstheme="minorHAnsi"/>
          <w:sz w:val="24"/>
          <w:szCs w:val="24"/>
        </w:rPr>
        <w:t xml:space="preserve"> by RT-PCR using a nasopharyngeal swab specimen. The primary outcome was hospital length of stay (LOS).</w:t>
      </w:r>
    </w:p>
    <w:p w:rsidR="00DF5006" w:rsidRDefault="00DF5006" w:rsidP="00DF5006">
      <w:pPr>
        <w:spacing w:after="120" w:line="240" w:lineRule="auto"/>
        <w:rPr>
          <w:rFonts w:cstheme="minorHAnsi"/>
          <w:sz w:val="24"/>
          <w:szCs w:val="24"/>
        </w:rPr>
      </w:pPr>
      <w:r w:rsidRPr="003A3826">
        <w:rPr>
          <w:rFonts w:cstheme="minorHAnsi"/>
          <w:b/>
          <w:caps/>
          <w:sz w:val="24"/>
          <w:szCs w:val="24"/>
        </w:rPr>
        <w:t>Results</w:t>
      </w:r>
      <w:r w:rsidRPr="003A3826">
        <w:rPr>
          <w:rFonts w:cstheme="minorHAnsi"/>
          <w:b/>
          <w:sz w:val="24"/>
          <w:szCs w:val="24"/>
        </w:rPr>
        <w:t xml:space="preserve">: </w:t>
      </w:r>
      <w:r w:rsidRPr="003A3826">
        <w:rPr>
          <w:rFonts w:cstheme="minorHAnsi"/>
          <w:sz w:val="24"/>
          <w:szCs w:val="24"/>
        </w:rPr>
        <w:t xml:space="preserve">Of the 699 patients reviewed, 359 met inclusion criteria. There were 221 patients who received </w:t>
      </w:r>
      <w:proofErr w:type="spellStart"/>
      <w:r w:rsidRPr="003A3826">
        <w:rPr>
          <w:rFonts w:cstheme="minorHAnsi"/>
          <w:sz w:val="24"/>
          <w:szCs w:val="24"/>
        </w:rPr>
        <w:t>baloxavir</w:t>
      </w:r>
      <w:proofErr w:type="spellEnd"/>
      <w:r w:rsidRPr="003A3826">
        <w:rPr>
          <w:rFonts w:cstheme="minorHAnsi"/>
          <w:sz w:val="24"/>
          <w:szCs w:val="24"/>
        </w:rPr>
        <w:t xml:space="preserve"> and 138 patients who received </w:t>
      </w:r>
      <w:proofErr w:type="spellStart"/>
      <w:r w:rsidRPr="003A3826">
        <w:rPr>
          <w:rFonts w:cstheme="minorHAnsi"/>
          <w:sz w:val="24"/>
          <w:szCs w:val="24"/>
        </w:rPr>
        <w:t>oseltamivir</w:t>
      </w:r>
      <w:proofErr w:type="spellEnd"/>
      <w:r w:rsidRPr="003A3826">
        <w:rPr>
          <w:rFonts w:cstheme="minorHAnsi"/>
          <w:sz w:val="24"/>
          <w:szCs w:val="24"/>
        </w:rPr>
        <w:t xml:space="preserve">. Patients who received </w:t>
      </w:r>
      <w:proofErr w:type="spellStart"/>
      <w:r w:rsidRPr="003A3826">
        <w:rPr>
          <w:rFonts w:cstheme="minorHAnsi"/>
          <w:sz w:val="24"/>
          <w:szCs w:val="24"/>
        </w:rPr>
        <w:t>oseltamivir</w:t>
      </w:r>
      <w:proofErr w:type="spellEnd"/>
      <w:r w:rsidRPr="003A3826">
        <w:rPr>
          <w:rFonts w:cstheme="minorHAnsi"/>
          <w:sz w:val="24"/>
          <w:szCs w:val="24"/>
        </w:rPr>
        <w:t xml:space="preserve"> were older (65 years [55-78] versus 82 years [69-88], P&lt;0.01) and were less likely to have a Body Mass Index &gt; 40 kg/m</w:t>
      </w:r>
      <w:r w:rsidRPr="003A3826">
        <w:rPr>
          <w:rFonts w:cstheme="minorHAnsi"/>
          <w:sz w:val="24"/>
          <w:szCs w:val="24"/>
          <w:vertAlign w:val="superscript"/>
        </w:rPr>
        <w:t>2</w:t>
      </w:r>
      <w:r w:rsidRPr="003A3826">
        <w:rPr>
          <w:rFonts w:cstheme="minorHAnsi"/>
          <w:sz w:val="24"/>
          <w:szCs w:val="24"/>
        </w:rPr>
        <w:t xml:space="preserve"> (26 [12%] versus </w:t>
      </w:r>
      <w:proofErr w:type="gramStart"/>
      <w:r w:rsidRPr="003A3826">
        <w:rPr>
          <w:rFonts w:cstheme="minorHAnsi"/>
          <w:sz w:val="24"/>
          <w:szCs w:val="24"/>
        </w:rPr>
        <w:t>7</w:t>
      </w:r>
      <w:proofErr w:type="gramEnd"/>
      <w:r w:rsidRPr="003A3826">
        <w:rPr>
          <w:rFonts w:cstheme="minorHAnsi"/>
          <w:sz w:val="24"/>
          <w:szCs w:val="24"/>
        </w:rPr>
        <w:t xml:space="preserve"> [5%], P=0.03) compared to the </w:t>
      </w:r>
      <w:proofErr w:type="spellStart"/>
      <w:r w:rsidRPr="003A3826">
        <w:rPr>
          <w:rFonts w:cstheme="minorHAnsi"/>
          <w:sz w:val="24"/>
          <w:szCs w:val="24"/>
        </w:rPr>
        <w:t>baloxavir</w:t>
      </w:r>
      <w:proofErr w:type="spellEnd"/>
      <w:r w:rsidRPr="003A3826">
        <w:rPr>
          <w:rFonts w:cstheme="minorHAnsi"/>
          <w:sz w:val="24"/>
          <w:szCs w:val="24"/>
        </w:rPr>
        <w:t xml:space="preserve"> group. For the primary outcome of LOS, the </w:t>
      </w:r>
      <w:proofErr w:type="spellStart"/>
      <w:r w:rsidRPr="003A3826">
        <w:rPr>
          <w:rFonts w:cstheme="minorHAnsi"/>
          <w:sz w:val="24"/>
          <w:szCs w:val="24"/>
        </w:rPr>
        <w:t>baloxavir</w:t>
      </w:r>
      <w:proofErr w:type="spellEnd"/>
      <w:r w:rsidRPr="003A3826">
        <w:rPr>
          <w:rFonts w:cstheme="minorHAnsi"/>
          <w:sz w:val="24"/>
          <w:szCs w:val="24"/>
        </w:rPr>
        <w:t xml:space="preserve"> group had a shorter LOS compared to </w:t>
      </w:r>
      <w:proofErr w:type="spellStart"/>
      <w:r w:rsidRPr="003A3826">
        <w:rPr>
          <w:rFonts w:cstheme="minorHAnsi"/>
          <w:sz w:val="24"/>
          <w:szCs w:val="24"/>
        </w:rPr>
        <w:t>oseltamivir</w:t>
      </w:r>
      <w:proofErr w:type="spellEnd"/>
      <w:r w:rsidRPr="003A3826">
        <w:rPr>
          <w:rFonts w:cstheme="minorHAnsi"/>
          <w:sz w:val="24"/>
          <w:szCs w:val="24"/>
        </w:rPr>
        <w:t xml:space="preserve"> (4 days [3-6] versus 5 days [3-8], P=0.02). Of the 272 patients who were hypoxic at the time of antiviral administration, the </w:t>
      </w:r>
      <w:proofErr w:type="spellStart"/>
      <w:r w:rsidRPr="003A3826">
        <w:rPr>
          <w:rFonts w:cstheme="minorHAnsi"/>
          <w:sz w:val="24"/>
          <w:szCs w:val="24"/>
        </w:rPr>
        <w:t>baloxavir</w:t>
      </w:r>
      <w:proofErr w:type="spellEnd"/>
      <w:r w:rsidRPr="003A3826">
        <w:rPr>
          <w:rFonts w:cstheme="minorHAnsi"/>
          <w:sz w:val="24"/>
          <w:szCs w:val="24"/>
        </w:rPr>
        <w:t xml:space="preserve"> group was more likely to resolve their hypoxia (145 [88%] versus 84 [79%], P=0.04) and had a shorter time to resolution of hypoxia (43 hours [22-78] versus 81 hours [33-135], P &lt; 0.001) compared to </w:t>
      </w:r>
      <w:proofErr w:type="spellStart"/>
      <w:r w:rsidRPr="003A3826">
        <w:rPr>
          <w:rFonts w:cstheme="minorHAnsi"/>
          <w:sz w:val="24"/>
          <w:szCs w:val="24"/>
        </w:rPr>
        <w:t>oseltamivir</w:t>
      </w:r>
      <w:proofErr w:type="spellEnd"/>
      <w:r w:rsidRPr="003A3826">
        <w:rPr>
          <w:rFonts w:cstheme="minorHAnsi"/>
          <w:sz w:val="24"/>
          <w:szCs w:val="24"/>
        </w:rPr>
        <w:t>.</w:t>
      </w:r>
    </w:p>
    <w:p w:rsidR="00DF5006" w:rsidRPr="003A3826" w:rsidRDefault="00DF5006" w:rsidP="00DF5006">
      <w:pPr>
        <w:spacing w:after="120" w:line="240" w:lineRule="auto"/>
        <w:rPr>
          <w:rFonts w:cstheme="minorHAnsi"/>
          <w:b/>
          <w:sz w:val="24"/>
          <w:szCs w:val="24"/>
        </w:rPr>
      </w:pPr>
      <w:r w:rsidRPr="003A3826">
        <w:rPr>
          <w:rFonts w:cstheme="minorHAnsi"/>
          <w:sz w:val="24"/>
          <w:szCs w:val="24"/>
        </w:rPr>
        <w:t xml:space="preserve"> </w:t>
      </w:r>
      <w:r w:rsidRPr="003A3826">
        <w:rPr>
          <w:rFonts w:cstheme="minorHAnsi"/>
          <w:b/>
          <w:caps/>
          <w:sz w:val="24"/>
          <w:szCs w:val="24"/>
        </w:rPr>
        <w:t>Conclusions</w:t>
      </w:r>
      <w:r w:rsidRPr="003A3826">
        <w:rPr>
          <w:rFonts w:cstheme="minorHAnsi"/>
          <w:b/>
          <w:sz w:val="24"/>
          <w:szCs w:val="24"/>
        </w:rPr>
        <w:t xml:space="preserve">: </w:t>
      </w:r>
      <w:r w:rsidRPr="003A3826">
        <w:rPr>
          <w:rFonts w:cstheme="minorHAnsi"/>
          <w:sz w:val="24"/>
          <w:szCs w:val="24"/>
        </w:rPr>
        <w:t xml:space="preserve">This study supports the use of </w:t>
      </w:r>
      <w:proofErr w:type="spellStart"/>
      <w:r w:rsidRPr="003A3826">
        <w:rPr>
          <w:rFonts w:cstheme="minorHAnsi"/>
          <w:sz w:val="24"/>
          <w:szCs w:val="24"/>
        </w:rPr>
        <w:t>baloxavir</w:t>
      </w:r>
      <w:proofErr w:type="spellEnd"/>
      <w:r w:rsidRPr="003A3826">
        <w:rPr>
          <w:rFonts w:cstheme="minorHAnsi"/>
          <w:sz w:val="24"/>
          <w:szCs w:val="24"/>
        </w:rPr>
        <w:t xml:space="preserve"> for the treatment of influenza </w:t>
      </w:r>
      <w:proofErr w:type="gramStart"/>
      <w:r w:rsidRPr="003A3826">
        <w:rPr>
          <w:rFonts w:cstheme="minorHAnsi"/>
          <w:sz w:val="24"/>
          <w:szCs w:val="24"/>
        </w:rPr>
        <w:t>A</w:t>
      </w:r>
      <w:proofErr w:type="gramEnd"/>
      <w:r w:rsidRPr="003A3826">
        <w:rPr>
          <w:rFonts w:cstheme="minorHAnsi"/>
          <w:sz w:val="24"/>
          <w:szCs w:val="24"/>
        </w:rPr>
        <w:t xml:space="preserve"> in hospitalized patients with possible benefits of reduced length of stay and faster time to resolution of hypoxia compared to </w:t>
      </w:r>
      <w:proofErr w:type="spellStart"/>
      <w:r w:rsidRPr="003A3826">
        <w:rPr>
          <w:rFonts w:cstheme="minorHAnsi"/>
          <w:sz w:val="24"/>
          <w:szCs w:val="24"/>
        </w:rPr>
        <w:t>oseltamivir</w:t>
      </w:r>
      <w:proofErr w:type="spellEnd"/>
      <w:r w:rsidRPr="003A3826">
        <w:rPr>
          <w:rFonts w:cstheme="minorHAnsi"/>
          <w:sz w:val="24"/>
          <w:szCs w:val="24"/>
        </w:rPr>
        <w:t xml:space="preserve">. </w:t>
      </w:r>
    </w:p>
    <w:tbl>
      <w:tblPr>
        <w:tblStyle w:val="TableGrid"/>
        <w:tblW w:w="0" w:type="auto"/>
        <w:tblLook w:val="04A0"/>
      </w:tblPr>
      <w:tblGrid>
        <w:gridCol w:w="3775"/>
        <w:gridCol w:w="2250"/>
        <w:gridCol w:w="2160"/>
        <w:gridCol w:w="1165"/>
      </w:tblGrid>
      <w:tr w:rsidR="00DF5006" w:rsidRPr="003A3826" w:rsidTr="00116D5D">
        <w:tc>
          <w:tcPr>
            <w:tcW w:w="3775" w:type="dxa"/>
          </w:tcPr>
          <w:p w:rsidR="00DF5006" w:rsidRPr="003A3826" w:rsidRDefault="00DF5006" w:rsidP="00116D5D">
            <w:pPr>
              <w:spacing w:after="120"/>
              <w:rPr>
                <w:rFonts w:cstheme="minorHAnsi"/>
                <w:b/>
                <w:sz w:val="24"/>
                <w:szCs w:val="24"/>
              </w:rPr>
            </w:pPr>
          </w:p>
        </w:tc>
        <w:tc>
          <w:tcPr>
            <w:tcW w:w="2250" w:type="dxa"/>
          </w:tcPr>
          <w:p w:rsidR="00DF5006" w:rsidRPr="003A3826" w:rsidRDefault="00DF5006" w:rsidP="00116D5D">
            <w:pPr>
              <w:spacing w:after="120"/>
              <w:rPr>
                <w:rFonts w:cstheme="minorHAnsi"/>
                <w:sz w:val="24"/>
                <w:szCs w:val="24"/>
              </w:rPr>
            </w:pPr>
            <w:proofErr w:type="spellStart"/>
            <w:r w:rsidRPr="003A3826">
              <w:rPr>
                <w:rFonts w:cstheme="minorHAnsi"/>
                <w:sz w:val="24"/>
                <w:szCs w:val="24"/>
              </w:rPr>
              <w:t>Baloxavir</w:t>
            </w:r>
            <w:proofErr w:type="spellEnd"/>
            <w:r w:rsidRPr="003A3826">
              <w:rPr>
                <w:rFonts w:cstheme="minorHAnsi"/>
                <w:sz w:val="24"/>
                <w:szCs w:val="24"/>
              </w:rPr>
              <w:t xml:space="preserve"> (n=221)</w:t>
            </w:r>
          </w:p>
        </w:tc>
        <w:tc>
          <w:tcPr>
            <w:tcW w:w="2160" w:type="dxa"/>
          </w:tcPr>
          <w:p w:rsidR="00DF5006" w:rsidRPr="003A3826" w:rsidRDefault="00DF5006" w:rsidP="00116D5D">
            <w:pPr>
              <w:spacing w:after="120"/>
              <w:rPr>
                <w:rFonts w:cstheme="minorHAnsi"/>
                <w:sz w:val="24"/>
                <w:szCs w:val="24"/>
              </w:rPr>
            </w:pPr>
            <w:proofErr w:type="spellStart"/>
            <w:r w:rsidRPr="003A3826">
              <w:rPr>
                <w:rFonts w:cstheme="minorHAnsi"/>
                <w:sz w:val="24"/>
                <w:szCs w:val="24"/>
              </w:rPr>
              <w:t>Oseltamivir</w:t>
            </w:r>
            <w:proofErr w:type="spellEnd"/>
            <w:r w:rsidRPr="003A3826">
              <w:rPr>
                <w:rFonts w:cstheme="minorHAnsi"/>
                <w:sz w:val="24"/>
                <w:szCs w:val="24"/>
              </w:rPr>
              <w:t xml:space="preserve"> (n=138)</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P-value</w:t>
            </w:r>
          </w:p>
        </w:tc>
      </w:tr>
      <w:tr w:rsidR="00DF5006" w:rsidRPr="003A3826" w:rsidTr="00116D5D">
        <w:tc>
          <w:tcPr>
            <w:tcW w:w="9350" w:type="dxa"/>
            <w:gridSpan w:val="4"/>
          </w:tcPr>
          <w:p w:rsidR="00DF5006" w:rsidRPr="003A3826" w:rsidRDefault="00DF5006" w:rsidP="00116D5D">
            <w:pPr>
              <w:spacing w:after="120"/>
              <w:rPr>
                <w:rFonts w:cstheme="minorHAnsi"/>
                <w:sz w:val="24"/>
                <w:szCs w:val="24"/>
                <w:u w:val="single"/>
              </w:rPr>
            </w:pPr>
            <w:r w:rsidRPr="003A3826">
              <w:rPr>
                <w:rFonts w:cstheme="minorHAnsi"/>
                <w:b/>
                <w:sz w:val="24"/>
                <w:szCs w:val="24"/>
                <w:u w:val="single"/>
              </w:rPr>
              <w:t>Demographics</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 xml:space="preserve">Age, median (IQR)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65 (55-78)</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82 (69-88)</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&lt; 0.01</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Female Sex,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109 (49)</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73 (53)</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0.51</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Active smoker,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35 (16)</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15 (11)</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0.19</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Body Mass Index 30-40 Kg/m</w:t>
            </w:r>
            <w:r w:rsidRPr="003A3826">
              <w:rPr>
                <w:rFonts w:cstheme="minorHAnsi"/>
                <w:sz w:val="24"/>
                <w:szCs w:val="24"/>
                <w:vertAlign w:val="superscript"/>
              </w:rPr>
              <w:t>2</w:t>
            </w:r>
            <w:r w:rsidRPr="003A3826">
              <w:rPr>
                <w:rFonts w:cstheme="minorHAnsi"/>
                <w:sz w:val="24"/>
                <w:szCs w:val="24"/>
              </w:rPr>
              <w:t>,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64 (29)</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32 (23)</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0.23</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Heart failure,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40 (18)</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37 (27)</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0.05</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Diabetes,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76 (34)</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36 (26)</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0.10</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Chronic respiratory disease,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97 (44)</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53 (38)</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0.31</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Chronic kidney disease,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45 (20)</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28 (20)</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0.99</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Dialysis,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16 (7)</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7 (5)</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0.41</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End stage liver disease,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2 (1)</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2 (1)</w:t>
            </w:r>
          </w:p>
        </w:tc>
        <w:tc>
          <w:tcPr>
            <w:tcW w:w="1165" w:type="dxa"/>
          </w:tcPr>
          <w:p w:rsidR="00DF5006" w:rsidRPr="003A3826" w:rsidRDefault="00DF5006" w:rsidP="00116D5D">
            <w:pPr>
              <w:spacing w:after="120"/>
              <w:rPr>
                <w:rFonts w:cstheme="minorHAnsi"/>
                <w:sz w:val="24"/>
                <w:szCs w:val="24"/>
                <w:vertAlign w:val="superscript"/>
              </w:rPr>
            </w:pPr>
            <w:r w:rsidRPr="003A3826">
              <w:rPr>
                <w:rFonts w:cstheme="minorHAnsi"/>
                <w:sz w:val="24"/>
                <w:szCs w:val="24"/>
              </w:rPr>
              <w:t>0.64</w:t>
            </w:r>
          </w:p>
        </w:tc>
      </w:tr>
      <w:tr w:rsidR="00DF5006" w:rsidRPr="003A3826" w:rsidTr="00116D5D">
        <w:tc>
          <w:tcPr>
            <w:tcW w:w="3775" w:type="dxa"/>
          </w:tcPr>
          <w:p w:rsidR="00DF5006" w:rsidRPr="003A3826" w:rsidRDefault="00DF5006" w:rsidP="00116D5D">
            <w:pPr>
              <w:spacing w:after="120"/>
              <w:rPr>
                <w:rFonts w:cstheme="minorHAnsi"/>
                <w:sz w:val="24"/>
                <w:szCs w:val="24"/>
              </w:rPr>
            </w:pPr>
            <w:proofErr w:type="spellStart"/>
            <w:r w:rsidRPr="003A3826">
              <w:rPr>
                <w:rFonts w:cstheme="minorHAnsi"/>
                <w:sz w:val="24"/>
                <w:szCs w:val="24"/>
              </w:rPr>
              <w:t>Immunosuppression</w:t>
            </w:r>
            <w:proofErr w:type="spellEnd"/>
            <w:r w:rsidRPr="003A3826">
              <w:rPr>
                <w:rFonts w:cstheme="minorHAnsi"/>
                <w:sz w:val="24"/>
                <w:szCs w:val="24"/>
                <w:vertAlign w:val="superscript"/>
              </w:rPr>
              <w:t>*</w:t>
            </w:r>
            <w:r w:rsidRPr="003A3826">
              <w:rPr>
                <w:rFonts w:cstheme="minorHAnsi"/>
                <w:sz w:val="24"/>
                <w:szCs w:val="24"/>
              </w:rPr>
              <w:t>, n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39 (18)</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19 (14)</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0.33</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Days from symptom onset to drug receipt, median (IQR)</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2 (1-4)</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2 (1-3)</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0.02</w:t>
            </w:r>
          </w:p>
        </w:tc>
      </w:tr>
      <w:tr w:rsidR="00DF5006" w:rsidRPr="003A3826" w:rsidTr="00116D5D">
        <w:tc>
          <w:tcPr>
            <w:tcW w:w="9350" w:type="dxa"/>
            <w:gridSpan w:val="4"/>
          </w:tcPr>
          <w:p w:rsidR="00DF5006" w:rsidRPr="003A3826" w:rsidRDefault="00DF5006" w:rsidP="00116D5D">
            <w:pPr>
              <w:spacing w:after="120"/>
              <w:rPr>
                <w:rFonts w:cstheme="minorHAnsi"/>
                <w:sz w:val="24"/>
                <w:szCs w:val="24"/>
                <w:u w:val="single"/>
              </w:rPr>
            </w:pPr>
            <w:r w:rsidRPr="003A3826">
              <w:rPr>
                <w:rFonts w:cstheme="minorHAnsi"/>
                <w:b/>
                <w:sz w:val="24"/>
                <w:szCs w:val="24"/>
                <w:u w:val="single"/>
              </w:rPr>
              <w:t>Clinical Outcomes</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LOS (Days), median (IQR)</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4 (3-6)</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5 (3-8)</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0.02</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Hypoxia resolution, n (%)</w:t>
            </w:r>
          </w:p>
        </w:tc>
        <w:tc>
          <w:tcPr>
            <w:tcW w:w="2250" w:type="dxa"/>
          </w:tcPr>
          <w:p w:rsidR="00DF5006" w:rsidRPr="003A3826" w:rsidRDefault="00DF5006" w:rsidP="00116D5D">
            <w:pPr>
              <w:spacing w:after="120"/>
              <w:rPr>
                <w:rFonts w:cstheme="minorHAnsi"/>
                <w:sz w:val="24"/>
                <w:szCs w:val="24"/>
                <w:u w:val="single"/>
              </w:rPr>
            </w:pPr>
            <w:r w:rsidRPr="003A3826">
              <w:rPr>
                <w:rFonts w:cstheme="minorHAnsi"/>
                <w:sz w:val="24"/>
                <w:szCs w:val="24"/>
                <w:u w:val="single"/>
              </w:rPr>
              <w:t>n=165</w:t>
            </w:r>
            <w:r w:rsidRPr="003A3826">
              <w:rPr>
                <w:rFonts w:cstheme="minorHAnsi"/>
                <w:sz w:val="24"/>
                <w:szCs w:val="24"/>
              </w:rPr>
              <w:br/>
              <w:t>145 (88)</w:t>
            </w:r>
          </w:p>
        </w:tc>
        <w:tc>
          <w:tcPr>
            <w:tcW w:w="2160" w:type="dxa"/>
          </w:tcPr>
          <w:p w:rsidR="00DF5006" w:rsidRPr="003A3826" w:rsidRDefault="00DF5006" w:rsidP="00116D5D">
            <w:pPr>
              <w:spacing w:after="120"/>
              <w:rPr>
                <w:rFonts w:cstheme="minorHAnsi"/>
                <w:sz w:val="24"/>
                <w:szCs w:val="24"/>
                <w:u w:val="single"/>
              </w:rPr>
            </w:pPr>
            <w:r w:rsidRPr="003A3826">
              <w:rPr>
                <w:rFonts w:cstheme="minorHAnsi"/>
                <w:sz w:val="24"/>
                <w:szCs w:val="24"/>
                <w:u w:val="single"/>
              </w:rPr>
              <w:t>n=107</w:t>
            </w:r>
            <w:r w:rsidRPr="003A3826">
              <w:rPr>
                <w:rFonts w:cstheme="minorHAnsi"/>
                <w:sz w:val="24"/>
                <w:szCs w:val="24"/>
              </w:rPr>
              <w:br/>
              <w:t>84 (79)</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0.04</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Hours from antiviral to hypoxia resolution, median (IQR)</w:t>
            </w:r>
          </w:p>
        </w:tc>
        <w:tc>
          <w:tcPr>
            <w:tcW w:w="2250" w:type="dxa"/>
          </w:tcPr>
          <w:p w:rsidR="00DF5006" w:rsidRPr="003A3826" w:rsidRDefault="00DF5006" w:rsidP="00116D5D">
            <w:pPr>
              <w:spacing w:after="120"/>
              <w:rPr>
                <w:rFonts w:cstheme="minorHAnsi"/>
                <w:sz w:val="24"/>
                <w:szCs w:val="24"/>
                <w:u w:val="single"/>
              </w:rPr>
            </w:pPr>
            <w:r w:rsidRPr="003A3826">
              <w:rPr>
                <w:rFonts w:cstheme="minorHAnsi"/>
                <w:sz w:val="24"/>
                <w:szCs w:val="24"/>
                <w:u w:val="single"/>
              </w:rPr>
              <w:t>n=165</w:t>
            </w:r>
            <w:r w:rsidRPr="003A3826">
              <w:rPr>
                <w:rFonts w:cstheme="minorHAnsi"/>
                <w:sz w:val="24"/>
                <w:szCs w:val="24"/>
              </w:rPr>
              <w:br/>
              <w:t>43 (22-78)</w:t>
            </w:r>
          </w:p>
        </w:tc>
        <w:tc>
          <w:tcPr>
            <w:tcW w:w="2160" w:type="dxa"/>
          </w:tcPr>
          <w:p w:rsidR="00DF5006" w:rsidRPr="003A3826" w:rsidRDefault="00DF5006" w:rsidP="00116D5D">
            <w:pPr>
              <w:spacing w:after="120"/>
              <w:rPr>
                <w:rFonts w:cstheme="minorHAnsi"/>
                <w:sz w:val="24"/>
                <w:szCs w:val="24"/>
                <w:u w:val="single"/>
              </w:rPr>
            </w:pPr>
            <w:r w:rsidRPr="003A3826">
              <w:rPr>
                <w:rFonts w:cstheme="minorHAnsi"/>
                <w:sz w:val="24"/>
                <w:szCs w:val="24"/>
                <w:u w:val="single"/>
              </w:rPr>
              <w:t>n=107</w:t>
            </w:r>
            <w:r w:rsidRPr="003A3826">
              <w:rPr>
                <w:rFonts w:cstheme="minorHAnsi"/>
                <w:sz w:val="24"/>
                <w:szCs w:val="24"/>
              </w:rPr>
              <w:br/>
              <w:t>81 (32-135)</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&lt;0.01</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Hours from antiviral to fever resolution, median (IQR)</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u w:val="single"/>
              </w:rPr>
              <w:t>n=163</w:t>
            </w:r>
            <w:r w:rsidRPr="003A3826">
              <w:rPr>
                <w:rFonts w:cstheme="minorHAnsi"/>
                <w:sz w:val="24"/>
                <w:szCs w:val="24"/>
              </w:rPr>
              <w:br/>
              <w:t>27 (11-40)</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u w:val="single"/>
              </w:rPr>
              <w:t>n=98</w:t>
            </w:r>
            <w:r w:rsidRPr="003A3826">
              <w:rPr>
                <w:rFonts w:cstheme="minorHAnsi"/>
                <w:sz w:val="24"/>
                <w:szCs w:val="24"/>
                <w:u w:val="single"/>
              </w:rPr>
              <w:br/>
            </w:r>
            <w:r w:rsidRPr="003A3826">
              <w:rPr>
                <w:rFonts w:cstheme="minorHAnsi"/>
                <w:sz w:val="24"/>
                <w:szCs w:val="24"/>
              </w:rPr>
              <w:t>29 (12-46)</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0.38</w:t>
            </w:r>
          </w:p>
        </w:tc>
      </w:tr>
      <w:tr w:rsidR="00DF5006" w:rsidRPr="003A3826" w:rsidTr="00116D5D">
        <w:tc>
          <w:tcPr>
            <w:tcW w:w="3775" w:type="dxa"/>
          </w:tcPr>
          <w:p w:rsidR="00DF5006" w:rsidRPr="003A3826" w:rsidRDefault="00DF5006" w:rsidP="00116D5D">
            <w:pPr>
              <w:spacing w:after="120"/>
              <w:rPr>
                <w:rFonts w:cstheme="minorHAnsi"/>
                <w:sz w:val="24"/>
                <w:szCs w:val="24"/>
              </w:rPr>
            </w:pPr>
            <w:r w:rsidRPr="003A3826">
              <w:rPr>
                <w:rFonts w:cstheme="minorHAnsi"/>
                <w:sz w:val="24"/>
                <w:szCs w:val="24"/>
              </w:rPr>
              <w:t xml:space="preserve">All-cause 30-day mortality, n (%) </w:t>
            </w:r>
          </w:p>
        </w:tc>
        <w:tc>
          <w:tcPr>
            <w:tcW w:w="2250" w:type="dxa"/>
          </w:tcPr>
          <w:p w:rsidR="00DF5006" w:rsidRPr="003A3826" w:rsidRDefault="00DF5006" w:rsidP="00116D5D">
            <w:pPr>
              <w:spacing w:after="120"/>
              <w:rPr>
                <w:rFonts w:cstheme="minorHAnsi"/>
                <w:sz w:val="24"/>
                <w:szCs w:val="24"/>
              </w:rPr>
            </w:pPr>
            <w:r w:rsidRPr="003A3826">
              <w:rPr>
                <w:rFonts w:cstheme="minorHAnsi"/>
                <w:sz w:val="24"/>
                <w:szCs w:val="24"/>
              </w:rPr>
              <w:t>37 (17)</w:t>
            </w:r>
          </w:p>
        </w:tc>
        <w:tc>
          <w:tcPr>
            <w:tcW w:w="2160" w:type="dxa"/>
          </w:tcPr>
          <w:p w:rsidR="00DF5006" w:rsidRPr="003A3826" w:rsidRDefault="00DF5006" w:rsidP="00116D5D">
            <w:pPr>
              <w:spacing w:after="120"/>
              <w:rPr>
                <w:rFonts w:cstheme="minorHAnsi"/>
                <w:sz w:val="24"/>
                <w:szCs w:val="24"/>
              </w:rPr>
            </w:pPr>
            <w:r w:rsidRPr="003A3826">
              <w:rPr>
                <w:rFonts w:cstheme="minorHAnsi"/>
                <w:sz w:val="24"/>
                <w:szCs w:val="24"/>
              </w:rPr>
              <w:t>14 (10)</w:t>
            </w:r>
          </w:p>
        </w:tc>
        <w:tc>
          <w:tcPr>
            <w:tcW w:w="1165" w:type="dxa"/>
          </w:tcPr>
          <w:p w:rsidR="00DF5006" w:rsidRPr="003A3826" w:rsidRDefault="00DF5006" w:rsidP="00116D5D">
            <w:pPr>
              <w:spacing w:after="120"/>
              <w:rPr>
                <w:rFonts w:cstheme="minorHAnsi"/>
                <w:sz w:val="24"/>
                <w:szCs w:val="24"/>
              </w:rPr>
            </w:pPr>
            <w:r w:rsidRPr="003A3826">
              <w:rPr>
                <w:rFonts w:cstheme="minorHAnsi"/>
                <w:sz w:val="24"/>
                <w:szCs w:val="24"/>
              </w:rPr>
              <w:t>0.08</w:t>
            </w:r>
          </w:p>
        </w:tc>
      </w:tr>
      <w:tr w:rsidR="00DF5006" w:rsidRPr="003A3826" w:rsidTr="00116D5D">
        <w:tc>
          <w:tcPr>
            <w:tcW w:w="9350" w:type="dxa"/>
            <w:gridSpan w:val="4"/>
          </w:tcPr>
          <w:p w:rsidR="00DF5006" w:rsidRPr="003A3826" w:rsidRDefault="00DF5006" w:rsidP="00116D5D">
            <w:pPr>
              <w:spacing w:after="120"/>
              <w:rPr>
                <w:rFonts w:cstheme="minorHAnsi"/>
                <w:sz w:val="24"/>
                <w:szCs w:val="24"/>
              </w:rPr>
            </w:pPr>
            <w:r w:rsidRPr="003A3826">
              <w:rPr>
                <w:rFonts w:cstheme="minorHAnsi"/>
                <w:sz w:val="24"/>
                <w:szCs w:val="24"/>
                <w:vertAlign w:val="superscript"/>
              </w:rPr>
              <w:t>*</w:t>
            </w:r>
            <w:r w:rsidRPr="003A3826">
              <w:rPr>
                <w:rFonts w:cstheme="minorHAnsi"/>
                <w:sz w:val="24"/>
                <w:szCs w:val="24"/>
              </w:rPr>
              <w:t>Immunosuppressive medications, receipt of chemotherapy within the past year, bone marrow transplant recipient, human immunodeficiency virus with a CD4 &lt; 200 cells/mm</w:t>
            </w:r>
            <w:r w:rsidRPr="003A3826">
              <w:rPr>
                <w:rFonts w:cstheme="minorHAnsi"/>
                <w:sz w:val="24"/>
                <w:szCs w:val="24"/>
                <w:vertAlign w:val="superscript"/>
              </w:rPr>
              <w:t>3</w:t>
            </w:r>
            <w:r w:rsidRPr="003A3826">
              <w:rPr>
                <w:rFonts w:cstheme="minorHAnsi"/>
                <w:sz w:val="24"/>
                <w:szCs w:val="24"/>
              </w:rPr>
              <w:t xml:space="preserve">, leukemia, lymphoma, solid organ transplant recipient, lupus </w:t>
            </w:r>
            <w:proofErr w:type="spellStart"/>
            <w:r w:rsidRPr="003A3826">
              <w:rPr>
                <w:rFonts w:cstheme="minorHAnsi"/>
                <w:sz w:val="24"/>
                <w:szCs w:val="24"/>
              </w:rPr>
              <w:t>erythematosus</w:t>
            </w:r>
            <w:proofErr w:type="spellEnd"/>
            <w:r w:rsidRPr="003A3826">
              <w:rPr>
                <w:rFonts w:cstheme="minorHAnsi"/>
                <w:sz w:val="24"/>
                <w:szCs w:val="24"/>
              </w:rPr>
              <w:t xml:space="preserve"> &amp; </w:t>
            </w:r>
            <w:proofErr w:type="spellStart"/>
            <w:r w:rsidRPr="003A3826">
              <w:rPr>
                <w:rFonts w:cstheme="minorHAnsi"/>
                <w:sz w:val="24"/>
                <w:szCs w:val="24"/>
              </w:rPr>
              <w:t>vasculitis</w:t>
            </w:r>
            <w:proofErr w:type="spellEnd"/>
          </w:p>
        </w:tc>
      </w:tr>
    </w:tbl>
    <w:p w:rsidR="007E4472" w:rsidRPr="007E4472" w:rsidRDefault="007E4472" w:rsidP="00DF5006">
      <w:pPr>
        <w:spacing w:after="120" w:line="240" w:lineRule="auto"/>
        <w:rPr>
          <w:rFonts w:cstheme="minorHAnsi"/>
          <w:b/>
          <w:color w:val="000000" w:themeColor="text1"/>
          <w:sz w:val="24"/>
          <w:szCs w:val="24"/>
        </w:rPr>
      </w:pPr>
    </w:p>
    <w:sectPr w:rsidR="007E4472" w:rsidRPr="007E4472" w:rsidSect="0015604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06" w:rsidRDefault="00DF5006" w:rsidP="00DF5006">
      <w:pPr>
        <w:spacing w:after="0" w:line="240" w:lineRule="auto"/>
      </w:pPr>
      <w:r>
        <w:separator/>
      </w:r>
    </w:p>
  </w:endnote>
  <w:endnote w:type="continuationSeparator" w:id="0">
    <w:p w:rsidR="00DF5006" w:rsidRDefault="00DF5006" w:rsidP="00DF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82642"/>
      <w:docPartObj>
        <w:docPartGallery w:val="Page Numbers (Bottom of Page)"/>
        <w:docPartUnique/>
      </w:docPartObj>
    </w:sdtPr>
    <w:sdtContent>
      <w:p w:rsidR="00DF5006" w:rsidRDefault="00DF5006">
        <w:pPr>
          <w:pStyle w:val="Footer"/>
          <w:jc w:val="right"/>
        </w:pPr>
        <w:r>
          <w:fldChar w:fldCharType="begin"/>
        </w:r>
        <w:r>
          <w:instrText xml:space="preserve"> PAGE   \* MERGEFORMAT </w:instrText>
        </w:r>
        <w:r>
          <w:fldChar w:fldCharType="separate"/>
        </w:r>
        <w:r>
          <w:rPr>
            <w:noProof/>
          </w:rPr>
          <w:t>1</w:t>
        </w:r>
        <w:r>
          <w:fldChar w:fldCharType="end"/>
        </w:r>
      </w:p>
    </w:sdtContent>
  </w:sdt>
  <w:p w:rsidR="00DF5006" w:rsidRDefault="00DF5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06" w:rsidRDefault="00DF5006" w:rsidP="00DF5006">
      <w:pPr>
        <w:spacing w:after="0" w:line="240" w:lineRule="auto"/>
      </w:pPr>
      <w:r>
        <w:separator/>
      </w:r>
    </w:p>
  </w:footnote>
  <w:footnote w:type="continuationSeparator" w:id="0">
    <w:p w:rsidR="00DF5006" w:rsidRDefault="00DF5006" w:rsidP="00DF5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884"/>
    <w:multiLevelType w:val="hybridMultilevel"/>
    <w:tmpl w:val="DE9C849E"/>
    <w:lvl w:ilvl="0" w:tplc="2E26E1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0DEC"/>
    <w:multiLevelType w:val="hybridMultilevel"/>
    <w:tmpl w:val="8FA2DAE0"/>
    <w:lvl w:ilvl="0" w:tplc="2E26E1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6229B"/>
    <w:multiLevelType w:val="hybridMultilevel"/>
    <w:tmpl w:val="8BAE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C4726"/>
    <w:multiLevelType w:val="multilevel"/>
    <w:tmpl w:val="87F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63363"/>
    <w:multiLevelType w:val="hybridMultilevel"/>
    <w:tmpl w:val="2170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D140D"/>
    <w:rsid w:val="00074A68"/>
    <w:rsid w:val="000E6A64"/>
    <w:rsid w:val="000F21B8"/>
    <w:rsid w:val="00143DE5"/>
    <w:rsid w:val="0015604F"/>
    <w:rsid w:val="001F5509"/>
    <w:rsid w:val="0032429C"/>
    <w:rsid w:val="00342A3C"/>
    <w:rsid w:val="00353683"/>
    <w:rsid w:val="003D7ABB"/>
    <w:rsid w:val="00403412"/>
    <w:rsid w:val="004C4BDD"/>
    <w:rsid w:val="005260B2"/>
    <w:rsid w:val="00530CBD"/>
    <w:rsid w:val="00532E5F"/>
    <w:rsid w:val="005A03E1"/>
    <w:rsid w:val="005C3E90"/>
    <w:rsid w:val="00662BEF"/>
    <w:rsid w:val="00747EF2"/>
    <w:rsid w:val="00760F29"/>
    <w:rsid w:val="007D3E3F"/>
    <w:rsid w:val="007E4472"/>
    <w:rsid w:val="00816EDB"/>
    <w:rsid w:val="008F5284"/>
    <w:rsid w:val="00944FCE"/>
    <w:rsid w:val="00A81A32"/>
    <w:rsid w:val="00BC696F"/>
    <w:rsid w:val="00BF082C"/>
    <w:rsid w:val="00C10E3F"/>
    <w:rsid w:val="00C211A9"/>
    <w:rsid w:val="00CA4ECB"/>
    <w:rsid w:val="00DD140D"/>
    <w:rsid w:val="00DF5006"/>
    <w:rsid w:val="00E31D76"/>
    <w:rsid w:val="00E95CEF"/>
    <w:rsid w:val="00EA2A4E"/>
    <w:rsid w:val="00F011A3"/>
    <w:rsid w:val="00F426EA"/>
    <w:rsid w:val="00FA12A7"/>
    <w:rsid w:val="00FA4253"/>
    <w:rsid w:val="00FE357E"/>
    <w:rsid w:val="00FF0D0C"/>
    <w:rsid w:val="00FF36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53"/>
    <w:rPr>
      <w:rFonts w:ascii="Tahoma" w:hAnsi="Tahoma" w:cs="Tahoma"/>
      <w:sz w:val="16"/>
      <w:szCs w:val="16"/>
    </w:rPr>
  </w:style>
  <w:style w:type="character" w:styleId="CommentReference">
    <w:name w:val="annotation reference"/>
    <w:basedOn w:val="DefaultParagraphFont"/>
    <w:uiPriority w:val="99"/>
    <w:semiHidden/>
    <w:unhideWhenUsed/>
    <w:rsid w:val="00F426EA"/>
    <w:rPr>
      <w:sz w:val="16"/>
      <w:szCs w:val="16"/>
    </w:rPr>
  </w:style>
  <w:style w:type="paragraph" w:styleId="CommentText">
    <w:name w:val="annotation text"/>
    <w:basedOn w:val="Normal"/>
    <w:link w:val="CommentTextChar"/>
    <w:uiPriority w:val="99"/>
    <w:semiHidden/>
    <w:unhideWhenUsed/>
    <w:rsid w:val="00F426EA"/>
    <w:pPr>
      <w:spacing w:line="240" w:lineRule="auto"/>
    </w:pPr>
    <w:rPr>
      <w:sz w:val="20"/>
      <w:szCs w:val="20"/>
    </w:rPr>
  </w:style>
  <w:style w:type="character" w:customStyle="1" w:styleId="CommentTextChar">
    <w:name w:val="Comment Text Char"/>
    <w:basedOn w:val="DefaultParagraphFont"/>
    <w:link w:val="CommentText"/>
    <w:uiPriority w:val="99"/>
    <w:semiHidden/>
    <w:rsid w:val="00F426EA"/>
    <w:rPr>
      <w:sz w:val="20"/>
      <w:szCs w:val="20"/>
    </w:rPr>
  </w:style>
  <w:style w:type="paragraph" w:styleId="CommentSubject">
    <w:name w:val="annotation subject"/>
    <w:basedOn w:val="CommentText"/>
    <w:next w:val="CommentText"/>
    <w:link w:val="CommentSubjectChar"/>
    <w:uiPriority w:val="99"/>
    <w:semiHidden/>
    <w:unhideWhenUsed/>
    <w:rsid w:val="00F426EA"/>
    <w:rPr>
      <w:b/>
      <w:bCs/>
    </w:rPr>
  </w:style>
  <w:style w:type="character" w:customStyle="1" w:styleId="CommentSubjectChar">
    <w:name w:val="Comment Subject Char"/>
    <w:basedOn w:val="CommentTextChar"/>
    <w:link w:val="CommentSubject"/>
    <w:uiPriority w:val="99"/>
    <w:semiHidden/>
    <w:rsid w:val="00F426EA"/>
    <w:rPr>
      <w:b/>
      <w:bCs/>
      <w:sz w:val="20"/>
      <w:szCs w:val="20"/>
    </w:rPr>
  </w:style>
  <w:style w:type="character" w:styleId="Hyperlink">
    <w:name w:val="Hyperlink"/>
    <w:basedOn w:val="DefaultParagraphFont"/>
    <w:uiPriority w:val="99"/>
    <w:unhideWhenUsed/>
    <w:rsid w:val="007E4472"/>
    <w:rPr>
      <w:color w:val="0000FF" w:themeColor="hyperlink"/>
      <w:u w:val="single"/>
    </w:rPr>
  </w:style>
  <w:style w:type="table" w:styleId="TableGrid">
    <w:name w:val="Table Grid"/>
    <w:basedOn w:val="TableNormal"/>
    <w:uiPriority w:val="39"/>
    <w:rsid w:val="007E44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472"/>
    <w:pPr>
      <w:ind w:left="720"/>
      <w:contextualSpacing/>
    </w:pPr>
    <w:rPr>
      <w:rFonts w:eastAsiaTheme="minorEastAsia"/>
      <w:lang w:eastAsia="zh-CN"/>
    </w:rPr>
  </w:style>
  <w:style w:type="paragraph" w:styleId="Revision">
    <w:name w:val="Revision"/>
    <w:hidden/>
    <w:uiPriority w:val="99"/>
    <w:semiHidden/>
    <w:rsid w:val="007E4472"/>
    <w:pPr>
      <w:spacing w:after="0" w:line="240" w:lineRule="auto"/>
    </w:pPr>
  </w:style>
  <w:style w:type="paragraph" w:styleId="Header">
    <w:name w:val="header"/>
    <w:basedOn w:val="Normal"/>
    <w:link w:val="HeaderChar"/>
    <w:uiPriority w:val="99"/>
    <w:semiHidden/>
    <w:unhideWhenUsed/>
    <w:rsid w:val="00DF5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006"/>
  </w:style>
  <w:style w:type="paragraph" w:styleId="Footer">
    <w:name w:val="footer"/>
    <w:basedOn w:val="Normal"/>
    <w:link w:val="FooterChar"/>
    <w:uiPriority w:val="99"/>
    <w:unhideWhenUsed/>
    <w:rsid w:val="00D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53"/>
    <w:rPr>
      <w:rFonts w:ascii="Tahoma" w:hAnsi="Tahoma" w:cs="Tahoma"/>
      <w:sz w:val="16"/>
      <w:szCs w:val="16"/>
    </w:rPr>
  </w:style>
  <w:style w:type="character" w:styleId="CommentReference">
    <w:name w:val="annotation reference"/>
    <w:basedOn w:val="DefaultParagraphFont"/>
    <w:uiPriority w:val="99"/>
    <w:semiHidden/>
    <w:unhideWhenUsed/>
    <w:rsid w:val="00F426EA"/>
    <w:rPr>
      <w:sz w:val="16"/>
      <w:szCs w:val="16"/>
    </w:rPr>
  </w:style>
  <w:style w:type="paragraph" w:styleId="CommentText">
    <w:name w:val="annotation text"/>
    <w:basedOn w:val="Normal"/>
    <w:link w:val="CommentTextChar"/>
    <w:uiPriority w:val="99"/>
    <w:semiHidden/>
    <w:unhideWhenUsed/>
    <w:rsid w:val="00F426EA"/>
    <w:pPr>
      <w:spacing w:line="240" w:lineRule="auto"/>
    </w:pPr>
    <w:rPr>
      <w:sz w:val="20"/>
      <w:szCs w:val="20"/>
    </w:rPr>
  </w:style>
  <w:style w:type="character" w:customStyle="1" w:styleId="CommentTextChar">
    <w:name w:val="Comment Text Char"/>
    <w:basedOn w:val="DefaultParagraphFont"/>
    <w:link w:val="CommentText"/>
    <w:uiPriority w:val="99"/>
    <w:semiHidden/>
    <w:rsid w:val="00F426EA"/>
    <w:rPr>
      <w:sz w:val="20"/>
      <w:szCs w:val="20"/>
    </w:rPr>
  </w:style>
  <w:style w:type="paragraph" w:styleId="CommentSubject">
    <w:name w:val="annotation subject"/>
    <w:basedOn w:val="CommentText"/>
    <w:next w:val="CommentText"/>
    <w:link w:val="CommentSubjectChar"/>
    <w:uiPriority w:val="99"/>
    <w:semiHidden/>
    <w:unhideWhenUsed/>
    <w:rsid w:val="00F426EA"/>
    <w:rPr>
      <w:b/>
      <w:bCs/>
    </w:rPr>
  </w:style>
  <w:style w:type="character" w:customStyle="1" w:styleId="CommentSubjectChar">
    <w:name w:val="Comment Subject Char"/>
    <w:basedOn w:val="CommentTextChar"/>
    <w:link w:val="CommentSubject"/>
    <w:uiPriority w:val="99"/>
    <w:semiHidden/>
    <w:rsid w:val="00F426E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 Kristin</dc:creator>
  <cp:lastModifiedBy>soken</cp:lastModifiedBy>
  <cp:revision>3</cp:revision>
  <cp:lastPrinted>2019-04-25T12:33:00Z</cp:lastPrinted>
  <dcterms:created xsi:type="dcterms:W3CDTF">2019-07-17T17:50:00Z</dcterms:created>
  <dcterms:modified xsi:type="dcterms:W3CDTF">2019-07-17T18:01:00Z</dcterms:modified>
</cp:coreProperties>
</file>